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00"/>
      </w:pPr>
      <w:r>
        <w:rPr>
          <w:rFonts w:ascii="Inter" w:cs="Inter" w:eastAsia="Inter" w:hAnsi="Inter"/>
          <w:b/>
          <w:bCs/>
          <w:color w:val="5F6D63"/>
          <w:sz w:val="19"/>
          <w:szCs w:val="19"/>
        </w:rPr>
        <w:t xml:space="preserve">TECHNICAL WHITEPAPER</w:t>
      </w:r>
    </w:p>
    <w:p>
      <w:pPr>
        <w:spacing w:after="120"/>
      </w:pPr>
      <w:r>
        <w:rPr>
          <w:rFonts w:ascii="Manrope" w:cs="Manrope" w:eastAsia="Manrope" w:hAnsi="Manrope"/>
          <w:b/>
          <w:bCs/>
          <w:color w:val="2E471F"/>
          <w:sz w:val="76"/>
          <w:szCs w:val="76"/>
        </w:rPr>
        <w:t xml:space="preserve">MyntriqOS</w:t>
      </w:r>
    </w:p>
    <w:p>
      <w:pPr>
        <w:spacing w:after="320"/>
      </w:pPr>
      <w:r>
        <w:rPr>
          <w:rFonts w:ascii="Manrope" w:cs="Manrope" w:eastAsia="Manrope" w:hAnsi="Manrope"/>
          <w:b w:val="false"/>
          <w:bCs w:val="false"/>
          <w:color w:val="3E6B22"/>
          <w:sz w:val="24"/>
          <w:szCs w:val="24"/>
        </w:rPr>
        <w:t xml:space="preserve">The AI Agentic Operating System</w:t>
      </w:r>
    </w:p>
    <w:p>
      <w:pPr>
        <w:spacing w:after="260" w:line="320"/>
      </w:pPr>
      <w:r>
        <w:rPr>
          <w:rFonts w:ascii="Inter" w:cs="Inter" w:eastAsia="Inter" w:hAnsi="Inter"/>
          <w:b w:val="false"/>
          <w:bCs w:val="false"/>
          <w:color w:val="14210F"/>
          <w:sz w:val="24"/>
          <w:szCs w:val="24"/>
        </w:rPr>
        <w:t xml:space="preserve">How enterprises deploy autonomous AI agents across every business function — under governance they own, on infrastructure they control, with data that never leaves its boundary.</w:t>
      </w:r>
    </w:p>
    <w:p>
      <w:pPr>
        <w:spacing w:after="900"/>
      </w:pPr>
      <w:r>
        <w:rPr>
          <w:rFonts w:ascii="Inter" w:cs="Inter" w:eastAsia="Inter" w:hAnsi="Inter"/>
          <w:b w:val="false"/>
          <w:bCs w:val="false"/>
          <w:color w:val="5F6D63"/>
          <w:sz w:val="21"/>
          <w:szCs w:val="21"/>
        </w:rPr>
        <w:t xml:space="preserve">Prepared for chief information, security, operating and financial officers evaluating enterprise AI.</w:t>
      </w:r>
    </w:p>
    <w:p>
      <w:r>
        <w:rPr>
          <w:rFonts w:ascii="Inter" w:cs="Inter" w:eastAsia="Inter" w:hAnsi="Inter"/>
          <w:b/>
          <w:bCs/>
          <w:color w:val="3E6B22"/>
          <w:sz w:val="21"/>
          <w:szCs w:val="21"/>
        </w:rPr>
        <w:t xml:space="preserve">AI Reimagined  |  Business Redefined</w:t>
      </w:r>
    </w:p>
    <w:p>
      <w:r>
        <w:br w:type="page"/>
      </w:r>
    </w:p>
    <w:p>
      <w:pPr>
        <w:pStyle w:val="Heading1"/>
        <w:spacing w:after="200"/>
      </w:pPr>
      <w:r>
        <w:rPr>
          <w:rFonts w:ascii="Manrope" w:cs="Manrope" w:eastAsia="Manrope" w:hAnsi="Manrope"/>
          <w:b/>
          <w:bCs/>
          <w:color w:val="2E471F"/>
          <w:sz w:val="40"/>
          <w:szCs w:val="40"/>
        </w:rPr>
        <w:t xml:space="preserve">Contents</w:t>
      </w:r>
    </w:p>
    <w:sdt>
      <w:sdtPr>
        <w:alias w:val="Contents"/>
      </w:sdtPr>
      <w:sdtContent>
        <w:p>
          <w:r>
            <w:fldChar w:fldCharType="begin" w:dirty="true"/>
            <w:instrText xml:space="preserve">TOC \o "1-2"</w:instrText>
            <w:fldChar w:fldCharType="separate"/>
          </w:r>
        </w:p>
        <w:p>
          <w:r>
            <w:fldChar w:fldCharType="end"/>
          </w:r>
        </w:p>
      </w:sdtContent>
    </w:sdt>
    <w:p>
      <w:r>
        <w:br w:type="page"/>
      </w:r>
    </w:p>
    <w:p>
      <w:pPr>
        <w:pStyle w:val="Heading1"/>
        <w:spacing w:after="200" w:before="480"/>
      </w:pPr>
      <w:r>
        <w:rPr>
          <w:rFonts w:ascii="Manrope" w:cs="Manrope" w:eastAsia="Manrope" w:hAnsi="Manrope"/>
          <w:b/>
          <w:bCs/>
          <w:color w:val="2E471F"/>
          <w:sz w:val="40"/>
          <w:szCs w:val="40"/>
        </w:rPr>
        <w:t xml:space="preserve">1. Executive summary</w:t>
      </w:r>
    </w:p>
    <w:p>
      <w:pPr>
        <w:spacing w:after="220" w:line="320"/>
      </w:pPr>
      <w:r>
        <w:rPr>
          <w:rFonts w:ascii="Inter" w:cs="Inter" w:eastAsia="Inter" w:hAnsi="Inter"/>
          <w:b w:val="false"/>
          <w:bCs w:val="false"/>
          <w:color w:val="14210F"/>
          <w:sz w:val="24"/>
          <w:szCs w:val="24"/>
        </w:rPr>
        <w:t xml:space="preserve">Enterprise AI rarely fails because the model is not clever enough. It fails at the security review, the data-protection assessment, and the question no vendor answers well: when this agent acts on our behalf, who is accountable, and how do we prove it?</w:t>
      </w:r>
    </w:p>
    <w:p>
      <w:pPr>
        <w:spacing w:after="160" w:line="300"/>
      </w:pPr>
      <w:r>
        <w:rPr>
          <w:rFonts w:ascii="Inter" w:cs="Inter" w:eastAsia="Inter" w:hAnsi="Inter"/>
          <w:b w:val="false"/>
          <w:bCs w:val="false"/>
          <w:color w:val="14210F"/>
          <w:sz w:val="21"/>
          <w:szCs w:val="21"/>
        </w:rPr>
        <w:t xml:space="preserve">MyntriqOS is an AI Agentic Operating System. It runs a workforce of AI agents across sales, service, finance, human resources, operations and executive reporting — connected to one another, grounded in the organisation's own knowledge, and constrained by a delegation of authority that the organisation defines rather than the vendor.</w:t>
      </w:r>
    </w:p>
    <w:p>
      <w:pPr>
        <w:spacing w:after="160" w:line="300"/>
      </w:pPr>
      <w:r>
        <w:rPr>
          <w:rFonts w:ascii="Inter" w:cs="Inter" w:eastAsia="Inter" w:hAnsi="Inter"/>
          <w:b w:val="false"/>
          <w:bCs w:val="false"/>
          <w:color w:val="14210F"/>
          <w:sz w:val="21"/>
          <w:szCs w:val="21"/>
        </w:rPr>
        <w:t xml:space="preserve">The architecture is built around a single conviction: an AI system that cannot be audited cannot be adopted. Every capability in this document exists to make agent behaviour observable, constrainable and reversible.</w:t>
      </w:r>
    </w:p>
    <w:p>
      <w:pPr>
        <w:pStyle w:val="Heading3"/>
        <w:spacing w:after="120" w:before="240"/>
      </w:pPr>
      <w:r>
        <w:rPr>
          <w:rFonts w:ascii="Inter" w:cs="Inter" w:eastAsia="Inter" w:hAnsi="Inter"/>
          <w:b/>
          <w:bCs/>
          <w:color w:val="14210F"/>
          <w:sz w:val="23"/>
          <w:szCs w:val="23"/>
        </w:rPr>
        <w:t xml:space="preserve">What differs from a copilot or a point AI tool</w:t>
      </w:r>
    </w:p>
    <w:p>
      <w:pPr>
        <w:pStyle w:val="ListParagraph"/>
        <w:numPr>
          <w:ilvl w:val="0"/>
          <w:numId w:val="2"/>
        </w:numPr>
        <w:spacing w:after="120" w:line="300"/>
      </w:pPr>
      <w:r>
        <w:rPr>
          <w:rFonts w:ascii="Inter" w:cs="Inter" w:eastAsia="Inter" w:hAnsi="Inter"/>
          <w:b w:val="false"/>
          <w:bCs w:val="false"/>
          <w:color w:val="14210F"/>
          <w:sz w:val="21"/>
          <w:szCs w:val="21"/>
        </w:rPr>
        <w:t xml:space="preserve">Agents share one intelligence layer. A qualified lead, a credit exposure and a support escalation are the same customer, not three records in three systems.</w:t>
      </w:r>
    </w:p>
    <w:p>
      <w:pPr>
        <w:pStyle w:val="ListParagraph"/>
        <w:numPr>
          <w:ilvl w:val="0"/>
          <w:numId w:val="2"/>
        </w:numPr>
        <w:spacing w:after="120" w:line="300"/>
      </w:pPr>
      <w:r>
        <w:rPr>
          <w:rFonts w:ascii="Inter" w:cs="Inter" w:eastAsia="Inter" w:hAnsi="Inter"/>
          <w:b w:val="false"/>
          <w:bCs w:val="false"/>
          <w:color w:val="14210F"/>
          <w:sz w:val="21"/>
          <w:szCs w:val="21"/>
        </w:rPr>
        <w:t xml:space="preserve">Authority is delegated explicitly. Each agent operates in one of three modes — ask before acting, act and notify, or act autonomously — set per agent and per workflow, not per platform.</w:t>
      </w:r>
    </w:p>
    <w:p>
      <w:pPr>
        <w:pStyle w:val="ListParagraph"/>
        <w:numPr>
          <w:ilvl w:val="0"/>
          <w:numId w:val="2"/>
        </w:numPr>
        <w:spacing w:after="120" w:line="300"/>
      </w:pPr>
      <w:r>
        <w:rPr>
          <w:rFonts w:ascii="Inter" w:cs="Inter" w:eastAsia="Inter" w:hAnsi="Inter"/>
          <w:b w:val="false"/>
          <w:bCs w:val="false"/>
          <w:color w:val="14210F"/>
          <w:sz w:val="21"/>
          <w:szCs w:val="21"/>
        </w:rPr>
        <w:t xml:space="preserve">Isolation is enforced by the database, not by application code. Tenant boundaries survive an application defect.</w:t>
      </w:r>
    </w:p>
    <w:p>
      <w:pPr>
        <w:pStyle w:val="ListParagraph"/>
        <w:numPr>
          <w:ilvl w:val="0"/>
          <w:numId w:val="2"/>
        </w:numPr>
        <w:spacing w:after="120" w:line="300"/>
      </w:pPr>
      <w:r>
        <w:rPr>
          <w:rFonts w:ascii="Inter" w:cs="Inter" w:eastAsia="Inter" w:hAnsi="Inter"/>
          <w:b w:val="false"/>
          <w:bCs w:val="false"/>
          <w:color w:val="14210F"/>
          <w:sz w:val="21"/>
          <w:szCs w:val="21"/>
        </w:rPr>
        <w:t xml:space="preserve">The model layer is replaceable. Frontier, open-weight and locally hosted models are routed behind one interface, so no single provider holds the deployment hostage.</w:t>
      </w:r>
    </w:p>
    <w:p>
      <w:pPr>
        <w:pStyle w:val="ListParagraph"/>
        <w:numPr>
          <w:ilvl w:val="0"/>
          <w:numId w:val="2"/>
        </w:numPr>
        <w:spacing w:after="120" w:line="300"/>
      </w:pPr>
      <w:r>
        <w:rPr>
          <w:rFonts w:ascii="Inter" w:cs="Inter" w:eastAsia="Inter" w:hAnsi="Inter"/>
          <w:b w:val="false"/>
          <w:bCs w:val="false"/>
          <w:color w:val="14210F"/>
          <w:sz w:val="21"/>
          <w:szCs w:val="21"/>
        </w:rPr>
        <w:t xml:space="preserve">Exit is a designed feature. Data, audit history and process definitions are exportable in full.</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tblGrid>
      <w:tr>
        <w:tc>
          <w:tcPr>
            <w:shd w:fill="F5F8F1" w:color="auto" w:val="clear"/>
            <w:tcMar>
              <w:top w:type="dxa" w:w="200"/>
              <w:left w:type="dxa" w:w="220"/>
              <w:bottom w:type="dxa" w:w="200"/>
              <w:right w:type="dxa" w:w="220"/>
            </w:tcMar>
          </w:tcPr>
          <w:p>
            <w:pPr>
              <w:spacing w:after="0" w:line="280"/>
            </w:pPr>
            <w:r>
              <w:rPr>
                <w:rFonts w:ascii="Manrope" w:cs="Manrope" w:eastAsia="Manrope" w:hAnsi="Manrope"/>
                <w:b w:val="false"/>
                <w:bCs w:val="false"/>
                <w:color w:val="2E471F"/>
                <w:sz w:val="21"/>
                <w:szCs w:val="21"/>
              </w:rPr>
              <w:t xml:space="preserve">The commercial argument in one line MyntriqOS reduces the cost of running a business function without transferring control of that function to a vendor — the two things enterprise AI has so far forced buyers to trade against each other.</w:t>
            </w:r>
          </w:p>
        </w:tc>
      </w:tr>
    </w:tbl>
    <w:p>
      <w:pPr>
        <w:spacing w:after="200"/>
      </w:pPr>
    </w:p>
    <w:p>
      <w:pPr>
        <w:pStyle w:val="Heading1"/>
        <w:spacing w:after="200" w:before="480"/>
      </w:pPr>
      <w:r>
        <w:rPr>
          <w:rFonts w:ascii="Manrope" w:cs="Manrope" w:eastAsia="Manrope" w:hAnsi="Manrope"/>
          <w:b/>
          <w:bCs/>
          <w:color w:val="2E471F"/>
          <w:sz w:val="40"/>
          <w:szCs w:val="40"/>
        </w:rPr>
        <w:t xml:space="preserve">2. Why enterprise AI stalls</w:t>
      </w:r>
    </w:p>
    <w:p>
      <w:pPr>
        <w:spacing w:after="220" w:line="320"/>
      </w:pPr>
      <w:r>
        <w:rPr>
          <w:rFonts w:ascii="Inter" w:cs="Inter" w:eastAsia="Inter" w:hAnsi="Inter"/>
          <w:b w:val="false"/>
          <w:bCs w:val="false"/>
          <w:color w:val="14210F"/>
          <w:sz w:val="24"/>
          <w:szCs w:val="24"/>
        </w:rPr>
        <w:t xml:space="preserve">Most organisations evaluating AI have already run a successful pilot. The pilot is not the obstacle. Three questions stop deployment, and they are asked by people who are personally accountable if the answer is wrong.</w:t>
      </w:r>
    </w:p>
    <w:p>
      <w:pPr>
        <w:pStyle w:val="Heading3"/>
        <w:spacing w:after="120" w:before="240"/>
      </w:pPr>
      <w:r>
        <w:rPr>
          <w:rFonts w:ascii="Inter" w:cs="Inter" w:eastAsia="Inter" w:hAnsi="Inter"/>
          <w:b/>
          <w:bCs/>
          <w:color w:val="14210F"/>
          <w:sz w:val="23"/>
          <w:szCs w:val="23"/>
        </w:rPr>
        <w:t xml:space="preserve">Where does our data go, and can it come back?</w:t>
      </w:r>
    </w:p>
    <w:p>
      <w:pPr>
        <w:spacing w:after="160" w:line="300"/>
      </w:pPr>
      <w:r>
        <w:rPr>
          <w:rFonts w:ascii="Inter" w:cs="Inter" w:eastAsia="Inter" w:hAnsi="Inter"/>
          <w:b w:val="false"/>
          <w:bCs w:val="false"/>
          <w:color w:val="14210F"/>
          <w:sz w:val="21"/>
          <w:szCs w:val="21"/>
        </w:rPr>
        <w:t xml:space="preserve">A general-purpose assistant that reaches a public model endpoint moves commercially sensitive material outside the organisation's control boundary. Contractual assurances are not architectural ones, and a data-protection officer knows the difference.</w:t>
      </w:r>
    </w:p>
    <w:p>
      <w:pPr>
        <w:pStyle w:val="Heading3"/>
        <w:spacing w:after="120" w:before="240"/>
      </w:pPr>
      <w:r>
        <w:rPr>
          <w:rFonts w:ascii="Inter" w:cs="Inter" w:eastAsia="Inter" w:hAnsi="Inter"/>
          <w:b/>
          <w:bCs/>
          <w:color w:val="14210F"/>
          <w:sz w:val="23"/>
          <w:szCs w:val="23"/>
        </w:rPr>
        <w:t xml:space="preserve">What happens when the agent is wrong?</w:t>
      </w:r>
    </w:p>
    <w:p>
      <w:pPr>
        <w:spacing w:after="160" w:line="300"/>
      </w:pPr>
      <w:r>
        <w:rPr>
          <w:rFonts w:ascii="Inter" w:cs="Inter" w:eastAsia="Inter" w:hAnsi="Inter"/>
          <w:b w:val="false"/>
          <w:bCs w:val="false"/>
          <w:color w:val="14210F"/>
          <w:sz w:val="21"/>
          <w:szCs w:val="21"/>
        </w:rPr>
        <w:t xml:space="preserve">An agent that can issue a credit note, send a customer commitment or alter a record can also do so incorrectly. Without a delegation model, the only safe answer is to prevent the agent from acting at all — which removes the value that justified the project.</w:t>
      </w:r>
    </w:p>
    <w:p>
      <w:pPr>
        <w:pStyle w:val="Heading3"/>
        <w:spacing w:after="120" w:before="240"/>
      </w:pPr>
      <w:r>
        <w:rPr>
          <w:rFonts w:ascii="Inter" w:cs="Inter" w:eastAsia="Inter" w:hAnsi="Inter"/>
          <w:b/>
          <w:bCs/>
          <w:color w:val="14210F"/>
          <w:sz w:val="23"/>
          <w:szCs w:val="23"/>
        </w:rPr>
        <w:t xml:space="preserve">How do we prove any of this to an auditor?</w:t>
      </w:r>
    </w:p>
    <w:p>
      <w:pPr>
        <w:spacing w:after="160" w:line="300"/>
      </w:pPr>
      <w:r>
        <w:rPr>
          <w:rFonts w:ascii="Inter" w:cs="Inter" w:eastAsia="Inter" w:hAnsi="Inter"/>
          <w:b w:val="false"/>
          <w:bCs w:val="false"/>
          <w:color w:val="14210F"/>
          <w:sz w:val="21"/>
          <w:szCs w:val="21"/>
        </w:rPr>
        <w:t xml:space="preserve">Regulated organisations must evidence not only that a control exists but that it operated. A log that records outcomes but not the reasoning, or a permission model that lives in application code rather than in the data layer, does not survive examination.</w:t>
      </w:r>
    </w:p>
    <w:p>
      <w:pPr>
        <w:spacing w:after="160" w:line="300"/>
      </w:pPr>
      <w:r>
        <w:rPr>
          <w:rFonts w:ascii="Inter" w:cs="Inter" w:eastAsia="Inter" w:hAnsi="Inter"/>
          <w:b w:val="false"/>
          <w:bCs w:val="false"/>
          <w:color w:val="14210F"/>
          <w:sz w:val="21"/>
          <w:szCs w:val="21"/>
        </w:rPr>
        <w:t xml:space="preserve">MyntriqOS is designed against these three questions rather than around them. The remainder of this document describes how.</w:t>
      </w:r>
    </w:p>
    <w:p>
      <w:pPr>
        <w:pStyle w:val="Heading1"/>
        <w:spacing w:after="200" w:before="480"/>
      </w:pPr>
      <w:r>
        <w:rPr>
          <w:rFonts w:ascii="Manrope" w:cs="Manrope" w:eastAsia="Manrope" w:hAnsi="Manrope"/>
          <w:b/>
          <w:bCs/>
          <w:color w:val="2E471F"/>
          <w:sz w:val="40"/>
          <w:szCs w:val="40"/>
        </w:rPr>
        <w:t xml:space="preserve">3. Trust is the binding constraint</w:t>
      </w:r>
    </w:p>
    <w:p>
      <w:pPr>
        <w:spacing w:after="220" w:line="320"/>
      </w:pPr>
      <w:r>
        <w:rPr>
          <w:rFonts w:ascii="Inter" w:cs="Inter" w:eastAsia="Inter" w:hAnsi="Inter"/>
          <w:b w:val="false"/>
          <w:bCs w:val="false"/>
          <w:color w:val="14210F"/>
          <w:sz w:val="24"/>
          <w:szCs w:val="24"/>
        </w:rPr>
        <w:t xml:space="preserve">An organisation does not fail to get value from AI because the models are not clever enough. It fails because it cannot bring itself to let the system act — and that is a question about trust, not capability.</w:t>
      </w:r>
    </w:p>
    <w:p>
      <w:pPr>
        <w:spacing w:after="160" w:line="300"/>
      </w:pPr>
      <w:r>
        <w:rPr>
          <w:rFonts w:ascii="Inter" w:cs="Inter" w:eastAsia="Inter" w:hAnsi="Inter"/>
          <w:b w:val="false"/>
          <w:bCs w:val="false"/>
          <w:color w:val="14210F"/>
          <w:sz w:val="21"/>
          <w:szCs w:val="21"/>
        </w:rPr>
        <w:t xml:space="preserve">This distinction is worth being precise about, because it determines what an organisation should actually be buying. Capability is purchased. Trust is accumulated. And until it has been accumulated, every consequential action still waits for a human to approve it — which means the organisation is paying the price of artificial intelligence and receiving the value of an assistant.</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tblGrid>
      <w:tr>
        <w:tc>
          <w:tcPr>
            <w:shd w:fill="F5F8F1" w:color="auto" w:val="clear"/>
            <w:tcMar>
              <w:top w:type="dxa" w:w="200"/>
              <w:left w:type="dxa" w:w="220"/>
              <w:bottom w:type="dxa" w:w="200"/>
              <w:right w:type="dxa" w:w="220"/>
            </w:tcMar>
          </w:tcPr>
          <w:p>
            <w:pPr>
              <w:spacing w:after="0" w:line="280"/>
            </w:pPr>
            <w:r>
              <w:rPr>
                <w:rFonts w:ascii="Manrope" w:cs="Manrope" w:eastAsia="Manrope" w:hAnsi="Manrope"/>
                <w:b w:val="false"/>
                <w:bCs w:val="false"/>
                <w:color w:val="2E471F"/>
                <w:sz w:val="21"/>
                <w:szCs w:val="21"/>
              </w:rPr>
              <w:t xml:space="preserve">The commercial form of the argument Trust is the rate limiter on return. An organisation that can responsibly grant autonomy converts AI spend into operating leverage: work happens without a person in the loop for every step. An organisation that cannot stays permanently supervised. The technology is identical in both cases; the return is not.</w:t>
            </w:r>
          </w:p>
        </w:tc>
      </w:tr>
    </w:tbl>
    <w:p>
      <w:pPr>
        <w:spacing w:after="200"/>
      </w:pPr>
    </w:p>
    <w:p>
      <w:pPr>
        <w:pStyle w:val="Heading2"/>
        <w:spacing w:after="140" w:before="340"/>
      </w:pPr>
      <w:r>
        <w:rPr>
          <w:rFonts w:ascii="Manrope" w:cs="Manrope" w:eastAsia="Manrope" w:hAnsi="Manrope"/>
          <w:b/>
          <w:bCs/>
          <w:color w:val="2E471F"/>
          <w:sz w:val="28"/>
          <w:szCs w:val="28"/>
        </w:rPr>
        <w:t xml:space="preserve">Nobody decides to trust</w:t>
      </w:r>
    </w:p>
    <w:p>
      <w:pPr>
        <w:spacing w:after="160" w:line="300"/>
      </w:pPr>
      <w:r>
        <w:rPr>
          <w:rFonts w:ascii="Inter" w:cs="Inter" w:eastAsia="Inter" w:hAnsi="Inter"/>
          <w:b w:val="false"/>
          <w:bCs w:val="false"/>
          <w:color w:val="14210F"/>
          <w:sz w:val="21"/>
          <w:szCs w:val="21"/>
        </w:rPr>
        <w:t xml:space="preserve">Trust is not a decision an executive makes in a meeting. It is a record that accumulates. Consider how the same organisation came to trust its best people: they did supervised work, the results were visible, and their authority widened as the evidence came in. Nobody signed a document granting trust on day one; it was earned in increments, and it could be withdrawn.</w:t>
      </w:r>
    </w:p>
    <w:p>
      <w:pPr>
        <w:spacing w:after="160" w:line="300"/>
      </w:pPr>
      <w:r>
        <w:rPr>
          <w:rFonts w:ascii="Inter" w:cs="Inter" w:eastAsia="Inter" w:hAnsi="Inter"/>
          <w:b w:val="false"/>
          <w:bCs w:val="false"/>
          <w:color w:val="14210F"/>
          <w:sz w:val="21"/>
          <w:szCs w:val="21"/>
        </w:rPr>
        <w:t xml:space="preserve">An AI agent is no different, and the platform either produces that record or asks the organisation to take a vendor's word instead. </w:t>
      </w:r>
      <w:r>
        <w:rPr>
          <w:rFonts w:ascii="Inter" w:cs="Inter" w:eastAsia="Inter" w:hAnsi="Inter"/>
          <w:b/>
          <w:bCs/>
          <w:color w:val="14210F"/>
          <w:sz w:val="21"/>
          <w:szCs w:val="21"/>
        </w:rPr>
        <w:t xml:space="preserve">That is the whole design question.</w:t>
      </w:r>
      <w:r>
        <w:rPr>
          <w:rFonts w:ascii="Inter" w:cs="Inter" w:eastAsia="Inter" w:hAnsi="Inter"/>
          <w:b w:val="false"/>
          <w:bCs w:val="false"/>
          <w:color w:val="14210F"/>
          <w:sz w:val="21"/>
          <w:szCs w:val="21"/>
        </w:rPr>
        <w:t xml:space="preserve"> A system that cannot show what it did, why it did it, and under whose authority, offers nothing for trust to be built out of — and so its autonomy can only ever be granted on faith, which no accountable executive will do, correctly.</w:t>
      </w:r>
    </w:p>
    <w:p>
      <w:pPr>
        <w:pStyle w:val="Heading2"/>
        <w:spacing w:after="140" w:before="340"/>
      </w:pPr>
      <w:r>
        <w:rPr>
          <w:rFonts w:ascii="Manrope" w:cs="Manrope" w:eastAsia="Manrope" w:hAnsi="Manrope"/>
          <w:b/>
          <w:bCs/>
          <w:color w:val="2E471F"/>
          <w:sz w:val="28"/>
          <w:szCs w:val="28"/>
        </w:rPr>
        <w:t xml:space="preserve">Three parties must trust it, and most platforms serve one</w:t>
      </w:r>
    </w:p>
    <w:p>
      <w:pPr>
        <w:spacing w:after="160" w:line="300"/>
      </w:pPr>
      <w:r>
        <w:rPr>
          <w:rFonts w:ascii="Inter" w:cs="Inter" w:eastAsia="Inter" w:hAnsi="Inter"/>
          <w:b w:val="false"/>
          <w:bCs w:val="false"/>
          <w:color w:val="14210F"/>
          <w:sz w:val="21"/>
          <w:szCs w:val="21"/>
        </w:rPr>
        <w:t xml:space="preserve">Enterprise AI is usually sold to the executive who signs. That is one of three constituencies, and a deployment fails if any of them withholds trust — usually quietly, and usually after the money has been spent.</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Who</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Their exposure</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What they need before they will trust it</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The executive</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Personally accountable if it is wrong</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To show a regulator, a board or an insurer what the system did and why — after the fact, without having prepared for the question</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The workforce</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Works alongside it every day</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To see its reasoning, correct it, and not carry the blame for it. Staff will not adopt a system that makes them look careless, and a system quietly routed around is not deployed</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The customer</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On the receiving end of its decisions</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To know a decision about them was made fairly, that a person can be reached, and that the person can overrule it</w:t>
            </w:r>
          </w:p>
        </w:tc>
      </w:tr>
    </w:tbl>
    <w:p>
      <w:pPr>
        <w:spacing w:after="200"/>
      </w:pPr>
    </w:p>
    <w:p>
      <w:pPr>
        <w:spacing w:after="160" w:line="300"/>
      </w:pPr>
      <w:r>
        <w:rPr>
          <w:rFonts w:ascii="Inter" w:cs="Inter" w:eastAsia="Inter" w:hAnsi="Inter"/>
          <w:b w:val="false"/>
          <w:bCs w:val="false"/>
          <w:color w:val="14210F"/>
          <w:sz w:val="21"/>
          <w:szCs w:val="21"/>
        </w:rPr>
        <w:t xml:space="preserve">The second constituency is the one most often forgotten, and it is the one that quietly decides whether a deployment succeeds. Adoption is not a contractual state. A workforce that does not trust an agent will check its work twice, or stop routing anything consequential through it — and the organisation will conclude that the technology underperformed, when what actually happened is that nobody could see why it did what it did.</w:t>
      </w:r>
    </w:p>
    <w:p>
      <w:pPr>
        <w:pStyle w:val="Heading2"/>
        <w:spacing w:after="140" w:before="340"/>
      </w:pPr>
      <w:r>
        <w:rPr>
          <w:rFonts w:ascii="Manrope" w:cs="Manrope" w:eastAsia="Manrope" w:hAnsi="Manrope"/>
          <w:b/>
          <w:bCs/>
          <w:color w:val="2E471F"/>
          <w:sz w:val="28"/>
          <w:szCs w:val="28"/>
        </w:rPr>
        <w:t xml:space="preserve">What this means for what you should evaluate</w:t>
      </w:r>
    </w:p>
    <w:p>
      <w:pPr>
        <w:spacing w:after="160" w:line="300"/>
      </w:pPr>
      <w:r>
        <w:rPr>
          <w:rFonts w:ascii="Inter" w:cs="Inter" w:eastAsia="Inter" w:hAnsi="Inter"/>
          <w:b w:val="false"/>
          <w:bCs w:val="false"/>
          <w:color w:val="14210F"/>
          <w:sz w:val="21"/>
          <w:szCs w:val="21"/>
        </w:rPr>
        <w:t xml:space="preserve">If trust is the constraint, then the features that matter are not the ones that make an agent more capable. They are the ones that make its behaviour observable, constrainable and reversible — because those three properties are what a record is made of.</w:t>
      </w:r>
    </w:p>
    <w:p>
      <w:pPr>
        <w:pStyle w:val="ListParagraph"/>
        <w:numPr>
          <w:ilvl w:val="0"/>
          <w:numId w:val="2"/>
        </w:numPr>
        <w:spacing w:after="120" w:line="300"/>
      </w:pPr>
      <w:r>
        <w:rPr>
          <w:rFonts w:ascii="Inter" w:cs="Inter" w:eastAsia="Inter" w:hAnsi="Inter"/>
          <w:b w:val="false"/>
          <w:bCs w:val="false"/>
          <w:color w:val="14210F"/>
          <w:sz w:val="21"/>
          <w:szCs w:val="21"/>
        </w:rPr>
        <w:t xml:space="preserve">Observable — what did it do, why, and on whose authority, retrievable later without having anticipated the question</w:t>
      </w:r>
    </w:p>
    <w:p>
      <w:pPr>
        <w:pStyle w:val="ListParagraph"/>
        <w:numPr>
          <w:ilvl w:val="0"/>
          <w:numId w:val="2"/>
        </w:numPr>
        <w:spacing w:after="120" w:line="300"/>
      </w:pPr>
      <w:r>
        <w:rPr>
          <w:rFonts w:ascii="Inter" w:cs="Inter" w:eastAsia="Inter" w:hAnsi="Inter"/>
          <w:b w:val="false"/>
          <w:bCs w:val="false"/>
          <w:color w:val="14210F"/>
          <w:sz w:val="21"/>
          <w:szCs w:val="21"/>
        </w:rPr>
        <w:t xml:space="preserve">Constrainable — what it may do without asking, set deliberately and narrowly rather than inherited from a default</w:t>
      </w:r>
    </w:p>
    <w:p>
      <w:pPr>
        <w:pStyle w:val="ListParagraph"/>
        <w:numPr>
          <w:ilvl w:val="0"/>
          <w:numId w:val="2"/>
        </w:numPr>
        <w:spacing w:after="120" w:line="300"/>
      </w:pPr>
      <w:r>
        <w:rPr>
          <w:rFonts w:ascii="Inter" w:cs="Inter" w:eastAsia="Inter" w:hAnsi="Inter"/>
          <w:b w:val="false"/>
          <w:bCs w:val="false"/>
          <w:color w:val="14210F"/>
          <w:sz w:val="21"/>
          <w:szCs w:val="21"/>
        </w:rPr>
        <w:t xml:space="preserve">Reversible — the ability to withdraw authority, correct an outcome, and have the correction itself be part of the record</w:t>
      </w:r>
    </w:p>
    <w:p>
      <w:pPr>
        <w:spacing w:after="160" w:line="300"/>
      </w:pPr>
      <w:r>
        <w:rPr>
          <w:rFonts w:ascii="Inter" w:cs="Inter" w:eastAsia="Inter" w:hAnsi="Inter"/>
          <w:b w:val="false"/>
          <w:bCs w:val="false"/>
          <w:color w:val="14210F"/>
          <w:sz w:val="21"/>
          <w:szCs w:val="21"/>
        </w:rPr>
        <w:t xml:space="preserve">Every capability described in the remainder of this document is an instrument for one of those three. That is the correct test to apply to any platform under evaluation, including this one: if a feature does not make agent behaviour observable, constrainable or reversible, it is not contributing to the thing that is actually blocking the deployment.</w:t>
      </w:r>
    </w:p>
    <w:p>
      <w:pPr>
        <w:pStyle w:val="Heading1"/>
        <w:spacing w:after="200" w:before="480"/>
      </w:pPr>
      <w:r>
        <w:rPr>
          <w:rFonts w:ascii="Manrope" w:cs="Manrope" w:eastAsia="Manrope" w:hAnsi="Manrope"/>
          <w:b/>
          <w:bCs/>
          <w:color w:val="2E471F"/>
          <w:sz w:val="40"/>
          <w:szCs w:val="40"/>
        </w:rPr>
        <w:t xml:space="preserve">4. What an Agentic Operating System is</w:t>
      </w:r>
    </w:p>
    <w:p>
      <w:pPr>
        <w:spacing w:after="220" w:line="320"/>
      </w:pPr>
      <w:r>
        <w:rPr>
          <w:rFonts w:ascii="Inter" w:cs="Inter" w:eastAsia="Inter" w:hAnsi="Inter"/>
          <w:b w:val="false"/>
          <w:bCs w:val="false"/>
          <w:color w:val="14210F"/>
          <w:sz w:val="24"/>
          <w:szCs w:val="24"/>
        </w:rPr>
        <w:t xml:space="preserve">An operating system does not perform the work. It allocates resources, isolates processes from one another, enforces permissions, and provides shared services so applications do not each reinvent them. MyntriqOS applies that pattern to AI agents.</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Operating system concept</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MyntriqOS equivalent</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Process</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An agent instance — a Receptionist, Sales, Human Resources, IT Support or Personal Assistant agent</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Scheduler</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The orchestration layer that routes work between agents and to humans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Memory protection</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Row-level tenant isolation and per-agent knowledge binding</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Permissions model</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The Delegation of Authority matrix and gated-intent catalogue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Device drivers</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Myntriq Connect — connectors to existing enterprise systems</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System log</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The immutable audit trail across every agent action</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Shared libraries</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Skills — versioned, reusable business capabilities</w:t>
            </w:r>
          </w:p>
        </w:tc>
      </w:tr>
    </w:tbl>
    <w:p>
      <w:pPr>
        <w:spacing w:after="200"/>
      </w:pPr>
    </w:p>
    <w:p>
      <w:pPr>
        <w:spacing w:after="160" w:line="300"/>
      </w:pPr>
      <w:r>
        <w:rPr>
          <w:rFonts w:ascii="Inter" w:cs="Inter" w:eastAsia="Inter" w:hAnsi="Inter"/>
          <w:b w:val="false"/>
          <w:bCs w:val="false"/>
          <w:color w:val="14210F"/>
          <w:sz w:val="21"/>
          <w:szCs w:val="21"/>
        </w:rPr>
        <w:t xml:space="preserve">The consequence matters commercially. Because isolation, permissions and audit are properties of the platform rather than of each agent, a new agent inherits the entire control model on the day it is created. Governance does not have to be rebuilt per use case, which is the cost that makes point AI tools expensive at scale.</w:t>
      </w:r>
    </w:p>
    <w:p>
      <w:pPr>
        <w:pStyle w:val="Heading1"/>
        <w:spacing w:after="200" w:before="480"/>
      </w:pPr>
      <w:r>
        <w:rPr>
          <w:rFonts w:ascii="Manrope" w:cs="Manrope" w:eastAsia="Manrope" w:hAnsi="Manrope"/>
          <w:b/>
          <w:bCs/>
          <w:color w:val="2E471F"/>
          <w:sz w:val="40"/>
          <w:szCs w:val="40"/>
        </w:rPr>
        <w:t xml:space="preserve">5. Architecture at a glance</w:t>
      </w:r>
    </w:p>
    <w:p>
      <w:pPr>
        <w:spacing w:after="220" w:line="320"/>
      </w:pPr>
      <w:r>
        <w:rPr>
          <w:rFonts w:ascii="Inter" w:cs="Inter" w:eastAsia="Inter" w:hAnsi="Inter"/>
          <w:b w:val="false"/>
          <w:bCs w:val="false"/>
          <w:color w:val="14210F"/>
          <w:sz w:val="24"/>
          <w:szCs w:val="24"/>
        </w:rPr>
        <w:t xml:space="preserve">MyntriqOS separates three concerns that most platforms conflate: the control plane that governs deployments, the distribution that serves one customer, and the model layer that supplies reasoning.</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Layer</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Responsibility</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Isolation boundary</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Control plane</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Provisioning, release governance, fleet health, approval of what may be published to a customer</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Operated by Myntriq; holds no customer business data</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Distribution</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The running MyntriqOS instance serving one customer — agents, knowledge, processes, audit</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Dedicated database, dedicated credentials, dedicated storage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Model layer</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Reasoning capacity — frontier, open-weight or locally hosted models</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Reached through one gateway; no agent holds a provider key</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Connect layer</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Integration with existing ERP, CRM, HR, finance and messaging systems</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Per-connection credentials, scoped per tenant</w:t>
            </w:r>
          </w:p>
        </w:tc>
      </w:tr>
    </w:tbl>
    <w:p>
      <w:pPr>
        <w:spacing w:after="200"/>
      </w:pP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tblGrid>
      <w:tr>
        <w:tc>
          <w:tcPr>
            <w:shd w:fill="F5F8F1" w:color="auto" w:val="clear"/>
            <w:tcMar>
              <w:top w:type="dxa" w:w="200"/>
              <w:left w:type="dxa" w:w="220"/>
              <w:bottom w:type="dxa" w:w="200"/>
              <w:right w:type="dxa" w:w="220"/>
            </w:tcMar>
          </w:tcPr>
          <w:p>
            <w:pPr>
              <w:spacing w:after="0" w:line="280"/>
            </w:pPr>
            <w:r>
              <w:rPr>
                <w:rFonts w:ascii="Manrope" w:cs="Manrope" w:eastAsia="Manrope" w:hAnsi="Manrope"/>
                <w:b w:val="false"/>
                <w:bCs w:val="false"/>
                <w:color w:val="2E471F"/>
                <w:sz w:val="21"/>
                <w:szCs w:val="21"/>
              </w:rPr>
              <w:t xml:space="preserve">Why the control plane holds no customer data A control plane that could read customer records would become the single most valuable target in the estate, and would make every customer's isolation dependent on the vendor's own perimeter. MyntriqOS separates the authority to publish from the ability to read. The control plane can say what version of a process a distribution should run; it cannot see what that distribution did with it.</w:t>
            </w:r>
          </w:p>
        </w:tc>
      </w:tr>
    </w:tbl>
    <w:p>
      <w:pPr>
        <w:spacing w:after="200"/>
      </w:pPr>
    </w:p>
    <w:p>
      <w:pPr>
        <w:pStyle w:val="Heading1"/>
        <w:spacing w:after="200" w:before="480"/>
      </w:pPr>
      <w:r>
        <w:rPr>
          <w:rFonts w:ascii="Manrope" w:cs="Manrope" w:eastAsia="Manrope" w:hAnsi="Manrope"/>
          <w:b/>
          <w:bCs/>
          <w:color w:val="2E471F"/>
          <w:sz w:val="40"/>
          <w:szCs w:val="40"/>
        </w:rPr>
        <w:t xml:space="preserve">6. Technology sovereignty</w:t>
      </w:r>
    </w:p>
    <w:p>
      <w:pPr>
        <w:spacing w:after="220" w:line="320"/>
      </w:pPr>
      <w:r>
        <w:rPr>
          <w:rFonts w:ascii="Inter" w:cs="Inter" w:eastAsia="Inter" w:hAnsi="Inter"/>
          <w:b w:val="false"/>
          <w:bCs w:val="false"/>
          <w:color w:val="14210F"/>
          <w:sz w:val="24"/>
          <w:szCs w:val="24"/>
        </w:rPr>
        <w:t xml:space="preserve">Sovereignty is not a hosting location. It is the set of answers to: who holds the keys, who can read the data, which jurisdiction governs it, and what happens on the day the relationship ends.</w:t>
      </w:r>
    </w:p>
    <w:p>
      <w:pPr>
        <w:pStyle w:val="Heading2"/>
        <w:spacing w:after="140" w:before="340"/>
      </w:pPr>
      <w:r>
        <w:rPr>
          <w:rFonts w:ascii="Manrope" w:cs="Manrope" w:eastAsia="Manrope" w:hAnsi="Manrope"/>
          <w:b/>
          <w:bCs/>
          <w:color w:val="2E471F"/>
          <w:sz w:val="28"/>
          <w:szCs w:val="28"/>
        </w:rPr>
        <w:t xml:space="preserve">Residency and jurisdiction</w:t>
      </w:r>
    </w:p>
    <w:p>
      <w:pPr>
        <w:spacing w:after="160" w:line="300"/>
      </w:pPr>
      <w:r>
        <w:rPr>
          <w:rFonts w:ascii="Inter" w:cs="Inter" w:eastAsia="Inter" w:hAnsi="Inter"/>
          <w:b w:val="false"/>
          <w:bCs w:val="false"/>
          <w:color w:val="14210F"/>
          <w:sz w:val="21"/>
          <w:szCs w:val="21"/>
        </w:rPr>
        <w:t xml:space="preserve">MyntriqOS deployments run on managed cloud infrastructure. Data at rest is encrypted with AES-256; data in transit uses TLS 1.2 or above. Residency is a property of the deployment, not a contractual promise layered over a global service — and rather than assert a single hosting geography, Myntriq discloses the jurisdictions in which records are stored and processed, provider by provider, in the Sub-processor List published in the Myntriq Trust Centre.</w:t>
      </w:r>
    </w:p>
    <w:p>
      <w:pPr>
        <w:spacing w:after="160" w:line="300"/>
      </w:pPr>
      <w:r>
        <w:rPr>
          <w:rFonts w:ascii="Inter" w:cs="Inter" w:eastAsia="Inter" w:hAnsi="Inter"/>
          <w:b w:val="false"/>
          <w:bCs w:val="false"/>
          <w:color w:val="14210F"/>
          <w:sz w:val="21"/>
          <w:szCs w:val="21"/>
        </w:rPr>
        <w:t xml:space="preserve">One distinction matters and is stated rather than left to be discovered: </w:t>
      </w:r>
      <w:r>
        <w:rPr>
          <w:rFonts w:ascii="Inter" w:cs="Inter" w:eastAsia="Inter" w:hAnsi="Inter"/>
          <w:b/>
          <w:bCs/>
          <w:color w:val="14210F"/>
          <w:sz w:val="21"/>
          <w:szCs w:val="21"/>
        </w:rPr>
        <w:t xml:space="preserve">storage residency and inference residency are different questions.</w:t>
      </w:r>
      <w:r>
        <w:rPr>
          <w:rFonts w:ascii="Inter" w:cs="Inter" w:eastAsia="Inter" w:hAnsi="Inter"/>
          <w:b w:val="false"/>
          <w:bCs w:val="false"/>
          <w:color w:val="14210F"/>
          <w:sz w:val="21"/>
          <w:szCs w:val="21"/>
        </w:rPr>
        <w:t xml:space="preserve"> On the managed tier, records remain within the deployment's disclosed storage jurisdiction while model inference is served by the model provider, which may process the request elsewhere; the Trust Centre discloses both sides of that chain. For material that must not leave the estate at all, the locally hosted model option below removes the question entirely rather than answering it contractually.</w:t>
      </w:r>
    </w:p>
    <w:p>
      <w:pPr>
        <w:pStyle w:val="Heading2"/>
        <w:spacing w:after="140" w:before="340"/>
      </w:pPr>
      <w:r>
        <w:rPr>
          <w:rFonts w:ascii="Manrope" w:cs="Manrope" w:eastAsia="Manrope" w:hAnsi="Manrope"/>
          <w:b/>
          <w:bCs/>
          <w:color w:val="2E471F"/>
          <w:sz w:val="28"/>
          <w:szCs w:val="28"/>
        </w:rPr>
        <w:t xml:space="preserve">Dedicated infrastructure per distribution</w:t>
      </w:r>
    </w:p>
    <w:p>
      <w:pPr>
        <w:spacing w:after="160" w:line="300"/>
      </w:pPr>
      <w:r>
        <w:rPr>
          <w:rFonts w:ascii="Inter" w:cs="Inter" w:eastAsia="Inter" w:hAnsi="Inter"/>
          <w:b w:val="false"/>
          <w:bCs w:val="false"/>
          <w:color w:val="14210F"/>
          <w:sz w:val="21"/>
          <w:szCs w:val="21"/>
        </w:rPr>
        <w:t xml:space="preserve">Each distribution owns its own database, its own service credentials, its own object storage and its own secret store. Nothing is shared between customers — not a database, not a key, not a connection pool.</w:t>
      </w:r>
    </w:p>
    <w:p>
      <w:pPr>
        <w:spacing w:after="160" w:line="300"/>
      </w:pPr>
      <w:r>
        <w:rPr>
          <w:rFonts w:ascii="Inter" w:cs="Inter" w:eastAsia="Inter" w:hAnsi="Inter"/>
          <w:b w:val="false"/>
          <w:bCs w:val="false"/>
          <w:color w:val="14210F"/>
          <w:sz w:val="21"/>
          <w:szCs w:val="21"/>
        </w:rPr>
        <w:t xml:space="preserve">This is deliberate and it is enforced operationally: a distribution may not reference another distribution's credentials, and secrets are never promoted between environments. </w:t>
      </w:r>
      <w:r>
        <w:rPr>
          <w:rFonts w:ascii="Inter" w:cs="Inter" w:eastAsia="Inter" w:hAnsi="Inter"/>
          <w:b/>
          <w:bCs/>
          <w:color w:val="14210F"/>
          <w:sz w:val="21"/>
          <w:szCs w:val="21"/>
        </w:rPr>
        <w:t xml:space="preserve">An engineer cannot accidentally point a test environment at production data, because the two do not share an address space.</w:t>
      </w:r>
    </w:p>
    <w:p>
      <w:pPr>
        <w:pStyle w:val="Heading2"/>
        <w:spacing w:after="140" w:before="340"/>
      </w:pPr>
      <w:r>
        <w:rPr>
          <w:rFonts w:ascii="Manrope" w:cs="Manrope" w:eastAsia="Manrope" w:hAnsi="Manrope"/>
          <w:b/>
          <w:bCs/>
          <w:color w:val="2E471F"/>
          <w:sz w:val="28"/>
          <w:szCs w:val="28"/>
        </w:rPr>
        <w:t xml:space="preserve">Model sovereignty</w:t>
      </w:r>
    </w:p>
    <w:p>
      <w:pPr>
        <w:spacing w:after="160" w:line="300"/>
      </w:pPr>
      <w:r>
        <w:rPr>
          <w:rFonts w:ascii="Inter" w:cs="Inter" w:eastAsia="Inter" w:hAnsi="Inter"/>
          <w:b w:val="false"/>
          <w:bCs w:val="false"/>
          <w:color w:val="14210F"/>
          <w:sz w:val="21"/>
          <w:szCs w:val="21"/>
        </w:rPr>
        <w:t xml:space="preserve">Reasoning capacity is a supply decision, not an architectural commitment. MyntriqOS routes every model call through a single gateway, which means the organisation can choose per workload:</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Option</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When it is chosen</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Sovereignty position</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Frontier hosted models</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Complex reasoning, long-context analysis, drafting</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Vendor-hosted; governed by contract and routing policy</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Open-weight models</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High-volume classification, extraction, routing</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Cost-efficient; deployable in-region</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Locally hosted models</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Sensitive material that must not leave the estate</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Data remains on the organisation's own infrastructure</w:t>
            </w:r>
          </w:p>
        </w:tc>
      </w:tr>
    </w:tbl>
    <w:p>
      <w:pPr>
        <w:spacing w:after="200"/>
      </w:pPr>
    </w:p>
    <w:p>
      <w:pPr>
        <w:spacing w:after="160" w:line="300"/>
      </w:pPr>
      <w:r>
        <w:rPr>
          <w:rFonts w:ascii="Inter" w:cs="Inter" w:eastAsia="Inter" w:hAnsi="Inter"/>
          <w:b w:val="false"/>
          <w:bCs w:val="false"/>
          <w:color w:val="14210F"/>
          <w:sz w:val="21"/>
          <w:szCs w:val="21"/>
        </w:rPr>
        <w:t xml:space="preserve">Because the gateway is the only path to a model, provider keys are held once, centrally, and never distributed to an agent. Changing provider is a configuration change rather than a re-implementation, and the organisation is not locked to any single AI supplier.</w:t>
      </w:r>
    </w:p>
    <w:p>
      <w:pPr>
        <w:pStyle w:val="Heading2"/>
        <w:spacing w:after="140" w:before="340"/>
      </w:pPr>
      <w:r>
        <w:rPr>
          <w:rFonts w:ascii="Manrope" w:cs="Manrope" w:eastAsia="Manrope" w:hAnsi="Manrope"/>
          <w:b/>
          <w:bCs/>
          <w:color w:val="2E471F"/>
          <w:sz w:val="28"/>
          <w:szCs w:val="28"/>
        </w:rPr>
        <w:t xml:space="preserve">Exit</w:t>
      </w:r>
    </w:p>
    <w:p>
      <w:pPr>
        <w:spacing w:after="160" w:line="300"/>
      </w:pPr>
      <w:r>
        <w:rPr>
          <w:rFonts w:ascii="Inter" w:cs="Inter" w:eastAsia="Inter" w:hAnsi="Inter"/>
          <w:b w:val="false"/>
          <w:bCs w:val="false"/>
          <w:color w:val="14210F"/>
          <w:sz w:val="21"/>
          <w:szCs w:val="21"/>
        </w:rPr>
        <w:t xml:space="preserve">Business records, knowledge documents, process definitions and the complete audit history are exportable. An organisation that leaves takes its operational memory with it. Exit rights that depend on the vendor's cooperation are not rights; MyntriqOS treats export as a product capability.</w:t>
      </w:r>
    </w:p>
    <w:p>
      <w:pPr>
        <w:pStyle w:val="Heading1"/>
        <w:spacing w:after="200" w:before="480"/>
      </w:pPr>
      <w:r>
        <w:rPr>
          <w:rFonts w:ascii="Manrope" w:cs="Manrope" w:eastAsia="Manrope" w:hAnsi="Manrope"/>
          <w:b/>
          <w:bCs/>
          <w:color w:val="2E471F"/>
          <w:sz w:val="40"/>
          <w:szCs w:val="40"/>
        </w:rPr>
        <w:t xml:space="preserve">7. No cross-tenant data leakage</w:t>
      </w:r>
    </w:p>
    <w:p>
      <w:pPr>
        <w:spacing w:after="220" w:line="320"/>
      </w:pPr>
      <w:r>
        <w:rPr>
          <w:rFonts w:ascii="Inter" w:cs="Inter" w:eastAsia="Inter" w:hAnsi="Inter"/>
          <w:b w:val="false"/>
          <w:bCs w:val="false"/>
          <w:color w:val="14210F"/>
          <w:sz w:val="24"/>
          <w:szCs w:val="24"/>
        </w:rPr>
        <w:t xml:space="preserve">The most consequential design decision in MyntriqOS is where tenant isolation is enforced. It is enforced in the database.</w:t>
      </w:r>
    </w:p>
    <w:p>
      <w:pPr>
        <w:spacing w:after="160" w:line="300"/>
      </w:pPr>
      <w:r>
        <w:rPr>
          <w:rFonts w:ascii="Inter" w:cs="Inter" w:eastAsia="Inter" w:hAnsi="Inter"/>
          <w:b w:val="false"/>
          <w:bCs w:val="false"/>
          <w:color w:val="14210F"/>
          <w:sz w:val="21"/>
          <w:szCs w:val="21"/>
        </w:rPr>
        <w:t xml:space="preserve">Every business record carries the identity of the organisation that owns it. Access policies are evaluated by the database itself on every read and every write, against the identity of the authenticated session. An application defect — a missing filter, a wrong variable, a copied query — does not produce a cross-tenant read, because the application is not what is preventing it.</w:t>
      </w:r>
    </w:p>
    <w:p>
      <w:pPr>
        <w:spacing w:after="160" w:line="300"/>
      </w:pPr>
      <w:r>
        <w:rPr>
          <w:rFonts w:ascii="Inter" w:cs="Inter" w:eastAsia="Inter" w:hAnsi="Inter"/>
          <w:b w:val="false"/>
          <w:bCs w:val="false"/>
          <w:color w:val="14210F"/>
          <w:sz w:val="21"/>
          <w:szCs w:val="21"/>
        </w:rPr>
        <w:t xml:space="preserve">This is not a single switch. The current schema carries 258 access policies across 88 tables, and the isolation is tested rather than asserted: a suite of planted-violation tests attempts specific cross-tenant and privilege-escalation writes and requires the database to refuse each with a specific, private error code. A generic refusal is treated as a test failure, because a generic refusal is indistinguishable from an unrelated permission problem and would let a real gap pass unnoticed.</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Control</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Where it is enforced</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What it survives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Tenant scoping of every record</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Database policy, evaluated per query</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Application bugs, injection, a compromised query path</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Role-based access within a tenant</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Database policy plus application authorisation</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Privilege confusion between staff roles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Agent-to-knowledge binding</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Explicit binding, resolved per request</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An agent being asked a question outside its remit</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Credential separation per distribution</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Infrastructure</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 leaked credential reaching another customer</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Connection-scoped integration data</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Connector layer</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 shared upstream system returning another tenant's records</w:t>
            </w:r>
          </w:p>
        </w:tc>
      </w:tr>
    </w:tbl>
    <w:p>
      <w:pPr>
        <w:spacing w:after="200"/>
      </w:pPr>
    </w:p>
    <w:p>
      <w:pPr>
        <w:pStyle w:val="Heading2"/>
        <w:spacing w:after="140" w:before="340"/>
      </w:pPr>
      <w:r>
        <w:rPr>
          <w:rFonts w:ascii="Manrope" w:cs="Manrope" w:eastAsia="Manrope" w:hAnsi="Manrope"/>
          <w:b/>
          <w:bCs/>
          <w:color w:val="2E471F"/>
          <w:sz w:val="28"/>
          <w:szCs w:val="28"/>
        </w:rPr>
        <w:t xml:space="preserve">How a stateless compute tier enforces this</w:t>
      </w:r>
    </w:p>
    <w:p>
      <w:pPr>
        <w:spacing w:after="160" w:line="300"/>
      </w:pPr>
      <w:r>
        <w:rPr>
          <w:rFonts w:ascii="Inter" w:cs="Inter" w:eastAsia="Inter" w:hAnsi="Inter"/>
          <w:b w:val="false"/>
          <w:bCs w:val="false"/>
          <w:color w:val="14210F"/>
          <w:sz w:val="21"/>
          <w:szCs w:val="21"/>
        </w:rPr>
        <w:t xml:space="preserve">A database administrator reading the paragraph above will ask the right question immediately: if the application runs on stateless containers behind a connection pool, how is the tenant context set per request without one request inheriting another's?</w:t>
      </w:r>
    </w:p>
    <w:p>
      <w:pPr>
        <w:spacing w:after="160" w:line="300"/>
      </w:pPr>
      <w:r>
        <w:rPr>
          <w:rFonts w:ascii="Inter" w:cs="Inter" w:eastAsia="Inter" w:hAnsi="Inter"/>
          <w:b w:val="false"/>
          <w:bCs w:val="false"/>
          <w:color w:val="14210F"/>
          <w:sz w:val="21"/>
          <w:szCs w:val="21"/>
        </w:rPr>
        <w:t xml:space="preserve">It is the correct question, and it describes a real vulnerability class. The usual architecture holds a pool of database connections in the application tier, sets a session variable such as the current tenant identifier at the start of each request, and relies on resetting it before the connection returns to the pool. That reset is application discipline, and application discipline fails under errors, timeouts and early returns. When it fails, one tenant receives a connection still carrying another tenant's context.</w:t>
      </w:r>
    </w:p>
    <w:p>
      <w:pPr>
        <w:spacing w:after="160" w:line="300"/>
      </w:pPr>
      <w:r>
        <w:rPr>
          <w:rFonts w:ascii="Inter" w:cs="Inter" w:eastAsia="Inter" w:hAnsi="Inter"/>
          <w:b/>
          <w:bCs/>
          <w:color w:val="14210F"/>
          <w:sz w:val="21"/>
          <w:szCs w:val="21"/>
        </w:rPr>
        <w:t xml:space="preserve">MyntriqOS never enters that failure mode, because the application tier holds no database connections at all.</w:t>
      </w:r>
      <w:r>
        <w:rPr>
          <w:rFonts w:ascii="Inter" w:cs="Inter" w:eastAsia="Inter" w:hAnsi="Inter"/>
          <w:b w:val="false"/>
          <w:bCs w:val="false"/>
          <w:color w:val="14210F"/>
          <w:sz w:val="21"/>
          <w:szCs w:val="21"/>
        </w:rPr>
        <w:t xml:space="preserve"> There is no connection pool in the application, and no session for a tenant context to persist in. Compute makes authenticated requests over HTTPS to the database's own API layer, and tenant identity travels in the signed session token attached to each individual request.</w:t>
      </w:r>
    </w:p>
    <w:p>
      <w:pPr>
        <w:spacing w:after="160" w:line="300"/>
      </w:pPr>
      <w:r>
        <w:rPr>
          <w:rFonts w:ascii="Inter" w:cs="Inter" w:eastAsia="Inter" w:hAnsi="Inter"/>
          <w:b w:val="false"/>
          <w:bCs w:val="false"/>
          <w:color w:val="14210F"/>
          <w:sz w:val="21"/>
          <w:szCs w:val="21"/>
        </w:rPr>
        <w:t xml:space="preserve">The identity chain is short and worth stating exactly, because every access policy in the system terminates in it:</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Step</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What it resolves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The request</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Carries the caller's signed session token — nothing else identifies them</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The database API layer</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Sets the token claims as transaction-scoped settings on whatever connection it uses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The identity function</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Reads the authenticated subject from those claims</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The tenancy function</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Resolves that subject to exactly one organisation</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Every access policy</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Compares the row's organisation against that value</w:t>
            </w:r>
          </w:p>
        </w:tc>
      </w:tr>
    </w:tbl>
    <w:p>
      <w:pPr>
        <w:spacing w:after="200"/>
      </w:pPr>
    </w:p>
    <w:p>
      <w:pPr>
        <w:spacing w:after="160" w:line="300"/>
      </w:pPr>
      <w:r>
        <w:rPr>
          <w:rFonts w:ascii="Inter" w:cs="Inter" w:eastAsia="Inter" w:hAnsi="Inter"/>
          <w:b w:val="false"/>
          <w:bCs w:val="false"/>
          <w:color w:val="14210F"/>
          <w:sz w:val="21"/>
          <w:szCs w:val="21"/>
        </w:rPr>
        <w:t xml:space="preserve">The claims are set with transaction scope, so the database itself discards them when the transaction commits or rolls back. Nothing has to remember to clear them. The pooling that does exist sits beneath this boundary, so a connection is never reused with claims still attached.</w:t>
      </w:r>
    </w:p>
    <w:p>
      <w:pPr>
        <w:pStyle w:val="Heading3"/>
        <w:spacing w:after="120" w:before="240"/>
      </w:pPr>
      <w:r>
        <w:rPr>
          <w:rFonts w:ascii="Inter" w:cs="Inter" w:eastAsia="Inter" w:hAnsi="Inter"/>
          <w:b/>
          <w:bCs/>
          <w:color w:val="14210F"/>
          <w:sz w:val="23"/>
          <w:szCs w:val="23"/>
        </w:rPr>
        <w:t xml:space="preserve">Three consequences worth drawing out</w:t>
      </w:r>
    </w:p>
    <w:p>
      <w:pPr>
        <w:pStyle w:val="ListParagraph"/>
        <w:numPr>
          <w:ilvl w:val="0"/>
          <w:numId w:val="2"/>
        </w:numPr>
        <w:spacing w:after="120" w:line="300"/>
      </w:pPr>
      <w:r>
        <w:rPr>
          <w:rFonts w:ascii="Inter" w:cs="Inter" w:eastAsia="Inter" w:hAnsi="Inter"/>
          <w:b/>
          <w:bCs/>
          <w:color w:val="14210F"/>
          <w:sz w:val="21"/>
          <w:szCs w:val="21"/>
        </w:rPr>
        <w:t xml:space="preserve">There is nothing to reset. </w:t>
      </w:r>
      <w:r>
        <w:rPr>
          <w:rFonts w:ascii="Inter" w:cs="Inter" w:eastAsia="Inter" w:hAnsi="Inter"/>
          <w:b w:val="false"/>
          <w:bCs w:val="false"/>
          <w:color w:val="14210F"/>
          <w:sz w:val="21"/>
          <w:szCs w:val="21"/>
        </w:rPr>
        <w:t xml:space="preserve">The mitigation the question asks after does not need to exist, because the state it protects against is never created. A control that is unnecessary cannot be forgotten.</w:t>
      </w:r>
    </w:p>
    <w:p>
      <w:pPr>
        <w:pStyle w:val="ListParagraph"/>
        <w:numPr>
          <w:ilvl w:val="0"/>
          <w:numId w:val="2"/>
        </w:numPr>
        <w:spacing w:after="120" w:line="300"/>
      </w:pPr>
      <w:r>
        <w:rPr>
          <w:rFonts w:ascii="Inter" w:cs="Inter" w:eastAsia="Inter" w:hAnsi="Inter"/>
          <w:b/>
          <w:bCs/>
          <w:color w:val="14210F"/>
          <w:sz w:val="21"/>
          <w:szCs w:val="21"/>
        </w:rPr>
        <w:t xml:space="preserve">The application cannot assert a tenant. </w:t>
      </w:r>
      <w:r>
        <w:rPr>
          <w:rFonts w:ascii="Inter" w:cs="Inter" w:eastAsia="Inter" w:hAnsi="Inter"/>
          <w:b w:val="false"/>
          <w:bCs w:val="false"/>
          <w:color w:val="14210F"/>
          <w:sz w:val="21"/>
          <w:szCs w:val="21"/>
        </w:rPr>
        <w:t xml:space="preserve">Where a tenant identifier is passed as a query parameter, a defect in that parameter is a cross-tenant read. Here application code can only present a token; the database derives identity from it. There is no code path in which the application says which organisation it is and is believed.</w:t>
      </w:r>
    </w:p>
    <w:p>
      <w:pPr>
        <w:pStyle w:val="ListParagraph"/>
        <w:numPr>
          <w:ilvl w:val="0"/>
          <w:numId w:val="2"/>
        </w:numPr>
        <w:spacing w:after="120" w:line="300"/>
      </w:pPr>
      <w:r>
        <w:rPr>
          <w:rFonts w:ascii="Inter" w:cs="Inter" w:eastAsia="Inter" w:hAnsi="Inter"/>
          <w:b/>
          <w:bCs/>
          <w:color w:val="14210F"/>
          <w:sz w:val="21"/>
          <w:szCs w:val="21"/>
        </w:rPr>
        <w:t xml:space="preserve">Statelessness is the property that removes the risk, not the one that creates it. </w:t>
      </w:r>
      <w:r>
        <w:rPr>
          <w:rFonts w:ascii="Inter" w:cs="Inter" w:eastAsia="Inter" w:hAnsi="Inter"/>
          <w:b w:val="false"/>
          <w:bCs w:val="false"/>
          <w:color w:val="14210F"/>
          <w:sz w:val="21"/>
          <w:szCs w:val="21"/>
        </w:rPr>
        <w:t xml:space="preserve">Because a container holds no connection affinity and no session, reuse of an instance between tenants carries no database state to inherit.</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tblGrid>
      <w:tr>
        <w:tc>
          <w:tcPr>
            <w:shd w:fill="F5F8F1" w:color="auto" w:val="clear"/>
            <w:tcMar>
              <w:top w:type="dxa" w:w="200"/>
              <w:left w:type="dxa" w:w="220"/>
              <w:bottom w:type="dxa" w:w="200"/>
              <w:right w:type="dxa" w:w="220"/>
            </w:tcMar>
          </w:tcPr>
          <w:p>
            <w:pPr>
              <w:spacing w:after="0" w:line="280"/>
            </w:pPr>
            <w:r>
              <w:rPr>
                <w:rFonts w:ascii="Manrope" w:cs="Manrope" w:eastAsia="Manrope" w:hAnsi="Manrope"/>
                <w:b w:val="false"/>
                <w:bCs w:val="false"/>
                <w:color w:val="2E471F"/>
                <w:sz w:val="21"/>
                <w:szCs w:val="21"/>
              </w:rPr>
              <w:t xml:space="preserve">The exception, named rather than discovered One path does bypass these policies: a small number of machine endpoints — inbound webhooks and scheduled intake — operate with elevated database credentials, because they run with no user session and therefore have no identity to scope by. Each verifies its own credential, by signature or bearer token, before that client is constructed. This is the surface a security reviewer should examine, and it is a much smaller and more enumerable one than a connection pool.</w:t>
            </w:r>
          </w:p>
        </w:tc>
      </w:tr>
    </w:tbl>
    <w:p>
      <w:pPr>
        <w:spacing w:after="200"/>
      </w:pP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tblGrid>
      <w:tr>
        <w:tc>
          <w:tcPr>
            <w:shd w:fill="F5F8F1" w:color="auto" w:val="clear"/>
            <w:tcMar>
              <w:top w:type="dxa" w:w="200"/>
              <w:left w:type="dxa" w:w="220"/>
              <w:bottom w:type="dxa" w:w="200"/>
              <w:right w:type="dxa" w:w="220"/>
            </w:tcMar>
          </w:tcPr>
          <w:p>
            <w:pPr>
              <w:spacing w:after="0" w:line="280"/>
            </w:pPr>
            <w:r>
              <w:rPr>
                <w:rFonts w:ascii="Manrope" w:cs="Manrope" w:eastAsia="Manrope" w:hAnsi="Manrope"/>
                <w:b w:val="false"/>
                <w:bCs w:val="false"/>
                <w:color w:val="2E471F"/>
                <w:sz w:val="21"/>
                <w:szCs w:val="21"/>
              </w:rPr>
              <w:t xml:space="preserve">The test that matters in a security review Ask any AI vendor: if your application code contained a bug that omitted the tenant filter, would a customer see another customer's data? For most platforms the honest answer is yes. MyntriqOS is architected so the answer is no, because the boundary is not implemented in the code path that would contain the bug.</w:t>
            </w:r>
          </w:p>
        </w:tc>
      </w:tr>
    </w:tbl>
    <w:p>
      <w:pPr>
        <w:spacing w:after="200"/>
      </w:pPr>
    </w:p>
    <w:p>
      <w:pPr>
        <w:pStyle w:val="Heading1"/>
        <w:spacing w:after="200" w:before="480"/>
      </w:pPr>
      <w:r>
        <w:rPr>
          <w:rFonts w:ascii="Manrope" w:cs="Manrope" w:eastAsia="Manrope" w:hAnsi="Manrope"/>
          <w:b/>
          <w:bCs/>
          <w:color w:val="2E471F"/>
          <w:sz w:val="40"/>
          <w:szCs w:val="40"/>
        </w:rPr>
        <w:t xml:space="preserve">8. Knowledge, retrieval and agent confidentiality</w:t>
      </w:r>
    </w:p>
    <w:p>
      <w:pPr>
        <w:spacing w:after="220" w:line="320"/>
      </w:pPr>
      <w:r>
        <w:rPr>
          <w:rFonts w:ascii="Inter" w:cs="Inter" w:eastAsia="Inter" w:hAnsi="Inter"/>
          <w:b w:val="false"/>
          <w:bCs w:val="false"/>
          <w:color w:val="14210F"/>
          <w:sz w:val="24"/>
          <w:szCs w:val="24"/>
        </w:rPr>
        <w:t xml:space="preserve">Agents are useful in proportion to what they know about the business. That makes the knowledge layer the single largest confidentiality risk in any agentic system — and the place where most implementations are weakest.</w:t>
      </w:r>
    </w:p>
    <w:p>
      <w:pPr>
        <w:pStyle w:val="Heading2"/>
        <w:spacing w:after="140" w:before="340"/>
      </w:pPr>
      <w:r>
        <w:rPr>
          <w:rFonts w:ascii="Manrope" w:cs="Manrope" w:eastAsia="Manrope" w:hAnsi="Manrope"/>
          <w:b/>
          <w:bCs/>
          <w:color w:val="2E471F"/>
          <w:sz w:val="28"/>
          <w:szCs w:val="28"/>
        </w:rPr>
        <w:t xml:space="preserve">Retrieval that is bound, not searched</w:t>
      </w:r>
    </w:p>
    <w:p>
      <w:pPr>
        <w:spacing w:after="160" w:line="300"/>
      </w:pPr>
      <w:r>
        <w:rPr>
          <w:rFonts w:ascii="Inter" w:cs="Inter" w:eastAsia="Inter" w:hAnsi="Inter"/>
          <w:b w:val="false"/>
          <w:bCs w:val="false"/>
          <w:color w:val="14210F"/>
          <w:sz w:val="21"/>
          <w:szCs w:val="21"/>
        </w:rPr>
        <w:t xml:space="preserve">MyntriqOS does not give agents a general search capability over organisational content. Knowledge is organised into collections, and each agent is explicitly bound to the collections it may retrieve from. A Human Resources agent bound to the HR policy collection cannot reach the finance collection — not because it has been instructed not to, but because the retrieval call is scoped to the collection it is bound to.</w:t>
      </w:r>
    </w:p>
    <w:p>
      <w:pPr>
        <w:spacing w:after="160" w:line="300"/>
      </w:pPr>
      <w:r>
        <w:rPr>
          <w:rFonts w:ascii="Inter" w:cs="Inter" w:eastAsia="Inter" w:hAnsi="Inter"/>
          <w:b w:val="false"/>
          <w:bCs w:val="false"/>
          <w:color w:val="14210F"/>
          <w:sz w:val="21"/>
          <w:szCs w:val="21"/>
        </w:rPr>
        <w:t xml:space="preserve">This distinction is the difference between a policy and a control. </w:t>
      </w:r>
      <w:r>
        <w:rPr>
          <w:rFonts w:ascii="Inter" w:cs="Inter" w:eastAsia="Inter" w:hAnsi="Inter"/>
          <w:b/>
          <w:bCs/>
          <w:color w:val="14210F"/>
          <w:sz w:val="21"/>
          <w:szCs w:val="21"/>
        </w:rPr>
        <w:t xml:space="preserve">Instructing a model not to disclose something is a policy. Preventing the material from ever entering its context is a control.</w:t>
      </w:r>
    </w:p>
    <w:p>
      <w:pPr>
        <w:pStyle w:val="Heading2"/>
        <w:spacing w:after="140" w:before="340"/>
      </w:pPr>
      <w:r>
        <w:rPr>
          <w:rFonts w:ascii="Manrope" w:cs="Manrope" w:eastAsia="Manrope" w:hAnsi="Manrope"/>
          <w:b/>
          <w:bCs/>
          <w:color w:val="2E471F"/>
          <w:sz w:val="28"/>
          <w:szCs w:val="28"/>
        </w:rPr>
        <w:t xml:space="preserve">Document lifecycle governs retrievability</w:t>
      </w:r>
    </w:p>
    <w:p>
      <w:pPr>
        <w:spacing w:after="160" w:line="300"/>
      </w:pPr>
      <w:r>
        <w:rPr>
          <w:rFonts w:ascii="Inter" w:cs="Inter" w:eastAsia="Inter" w:hAnsi="Inter"/>
          <w:b w:val="false"/>
          <w:bCs w:val="false"/>
          <w:color w:val="14210F"/>
          <w:sz w:val="21"/>
          <w:szCs w:val="21"/>
        </w:rPr>
        <w:t xml:space="preserve">A document does not become answerable simply because it has been uploaded. Retrieval considers only documents that are both marked eligible for AI use and in an approved or published lifecycle state. Draft, superseded, archived and restricted material is excluded at the point of retrieval.</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Attribute</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Purpose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Eligibility for AI retrieval</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Content may be stored for humans but withheld from agents</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Lifecycle state</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Only approved or published material is answerable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Classification</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Sensitivity level attached to the document itself</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Audience and retrieval roles</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Which staff roles the material may be surfaced to</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Retention date</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When the material must be removed</w:t>
            </w:r>
          </w:p>
        </w:tc>
      </w:tr>
    </w:tbl>
    <w:p>
      <w:pPr>
        <w:spacing w:after="200"/>
      </w:pPr>
    </w:p>
    <w:p>
      <w:pPr>
        <w:pStyle w:val="Heading2"/>
        <w:spacing w:after="140" w:before="340"/>
      </w:pPr>
      <w:r>
        <w:rPr>
          <w:rFonts w:ascii="Manrope" w:cs="Manrope" w:eastAsia="Manrope" w:hAnsi="Manrope"/>
          <w:b/>
          <w:bCs/>
          <w:color w:val="2E471F"/>
          <w:sz w:val="28"/>
          <w:szCs w:val="28"/>
        </w:rPr>
        <w:t xml:space="preserve">Defence against indirect prompt injection</w:t>
      </w:r>
    </w:p>
    <w:p>
      <w:pPr>
        <w:spacing w:after="160" w:line="300"/>
      </w:pPr>
      <w:r>
        <w:rPr>
          <w:rFonts w:ascii="Inter" w:cs="Inter" w:eastAsia="Inter" w:hAnsi="Inter"/>
          <w:b w:val="false"/>
          <w:bCs w:val="false"/>
          <w:color w:val="14210F"/>
          <w:sz w:val="21"/>
          <w:szCs w:val="21"/>
        </w:rPr>
        <w:t xml:space="preserve">Retrieved content is untrusted input. A document, an inbound email or a web page may contain text crafted to redirect an agent — the agentic equivalent of a code-injection attack. MyntriqOS wraps retrieved material in an explicit untrusted-context boundary before it reaches the model, so instructions embedded in content are presented as data to be considered rather than direction to be followed.</w:t>
      </w:r>
    </w:p>
    <w:p>
      <w:pPr>
        <w:pStyle w:val="Heading2"/>
        <w:spacing w:after="140" w:before="340"/>
      </w:pPr>
      <w:r>
        <w:rPr>
          <w:rFonts w:ascii="Manrope" w:cs="Manrope" w:eastAsia="Manrope" w:hAnsi="Manrope"/>
          <w:b/>
          <w:bCs/>
          <w:color w:val="2E471F"/>
          <w:sz w:val="28"/>
          <w:szCs w:val="28"/>
        </w:rPr>
        <w:t xml:space="preserve">Ingestion under approval</w:t>
      </w:r>
    </w:p>
    <w:p>
      <w:pPr>
        <w:spacing w:after="160" w:line="300"/>
      </w:pPr>
      <w:r>
        <w:rPr>
          <w:rFonts w:ascii="Inter" w:cs="Inter" w:eastAsia="Inter" w:hAnsi="Inter"/>
          <w:b w:val="false"/>
          <w:bCs w:val="false"/>
          <w:color w:val="14210F"/>
          <w:sz w:val="21"/>
          <w:szCs w:val="21"/>
        </w:rPr>
        <w:t xml:space="preserve">Publishing a document into a collection an agent can answer from is itself a governed action. Ingestion runs through the same delegation of authority as any other consequential operation, so material becomes answerable to customers only after a human with the appropriate authority has approved it.</w:t>
      </w:r>
    </w:p>
    <w:p>
      <w:pPr>
        <w:pStyle w:val="Heading1"/>
        <w:spacing w:after="200" w:before="480"/>
      </w:pPr>
      <w:r>
        <w:rPr>
          <w:rFonts w:ascii="Manrope" w:cs="Manrope" w:eastAsia="Manrope" w:hAnsi="Manrope"/>
          <w:b/>
          <w:bCs/>
          <w:color w:val="2E471F"/>
          <w:sz w:val="40"/>
          <w:szCs w:val="40"/>
        </w:rPr>
        <w:t xml:space="preserve">9. Memory: what the agent remembers, and who may see it</w:t>
      </w:r>
    </w:p>
    <w:p>
      <w:pPr>
        <w:spacing w:after="220" w:line="320"/>
      </w:pPr>
      <w:r>
        <w:rPr>
          <w:rFonts w:ascii="Inter" w:cs="Inter" w:eastAsia="Inter" w:hAnsi="Inter"/>
          <w:b w:val="false"/>
          <w:bCs w:val="false"/>
          <w:color w:val="14210F"/>
          <w:sz w:val="24"/>
          <w:szCs w:val="24"/>
        </w:rPr>
        <w:t xml:space="preserve">Knowledge is what the organisation knows. Memory is what happened. They are governed differently because they leak differently — and conflating them is the most common confidentiality failure in agentic systems.</w:t>
      </w:r>
    </w:p>
    <w:p>
      <w:pPr>
        <w:spacing w:after="160" w:line="300"/>
      </w:pPr>
      <w:r>
        <w:rPr>
          <w:rFonts w:ascii="Inter" w:cs="Inter" w:eastAsia="Inter" w:hAnsi="Inter"/>
          <w:b w:val="false"/>
          <w:bCs w:val="false"/>
          <w:color w:val="14210F"/>
          <w:sz w:val="21"/>
          <w:szCs w:val="21"/>
        </w:rPr>
        <w:t xml:space="preserve">Knowledge is curated. Somebody wrote a policy document, somebody approved it, and it is deliberately shared. Memory is not curated: it accumulates on its own, out of conversations, as a by-product of the system working. Nobody reviews it before it exists. That difference is why it needs its own governance rather than inheriting the knowledge model.</w:t>
      </w:r>
    </w:p>
    <w:p>
      <w:pPr>
        <w:spacing w:after="160" w:line="300"/>
      </w:pPr>
      <w:r>
        <w:rPr>
          <w:rFonts w:ascii="Inter" w:cs="Inter" w:eastAsia="Inter" w:hAnsi="Inter"/>
          <w:b w:val="false"/>
          <w:bCs w:val="false"/>
          <w:color w:val="14210F"/>
          <w:sz w:val="21"/>
          <w:szCs w:val="21"/>
        </w:rPr>
        <w:t xml:space="preserve">The failure this prevents is concrete. If everything an agent learns is pooled into one retrieval space, a private detail disclosed by one customer becomes retrievable in a conversation with another — not through a defect, but because that is what a shared vector index does. The organisation would have built a leak and called it personalisation.</w:t>
      </w:r>
    </w:p>
    <w:p>
      <w:pPr>
        <w:pStyle w:val="Heading2"/>
        <w:spacing w:after="140" w:before="340"/>
      </w:pPr>
      <w:r>
        <w:rPr>
          <w:rFonts w:ascii="Manrope" w:cs="Manrope" w:eastAsia="Manrope" w:hAnsi="Manrope"/>
          <w:b/>
          <w:bCs/>
          <w:color w:val="2E471F"/>
          <w:sz w:val="28"/>
          <w:szCs w:val="28"/>
        </w:rPr>
        <w:t xml:space="preserve">Persistent, not a longer context window</w:t>
      </w:r>
    </w:p>
    <w:p>
      <w:pPr>
        <w:spacing w:after="160" w:line="300"/>
      </w:pPr>
      <w:r>
        <w:rPr>
          <w:rFonts w:ascii="Inter" w:cs="Inter" w:eastAsia="Inter" w:hAnsi="Inter"/>
          <w:b w:val="false"/>
          <w:bCs w:val="false"/>
          <w:color w:val="14210F"/>
          <w:sz w:val="21"/>
          <w:szCs w:val="21"/>
        </w:rPr>
        <w:t xml:space="preserve">There are two things an AI system can mean by memory, and the difference matters commercially. The first is the working context of a single conversation — what the model can see while it answers. That is transient by construction: it ends with the session, and making it larger is a capacity decision, not a memory architecture.</w:t>
      </w:r>
    </w:p>
    <w:p>
      <w:pPr>
        <w:spacing w:after="160" w:line="300"/>
      </w:pPr>
      <w:r>
        <w:rPr>
          <w:rFonts w:ascii="Inter" w:cs="Inter" w:eastAsia="Inter" w:hAnsi="Inter"/>
          <w:b/>
          <w:bCs/>
          <w:color w:val="14210F"/>
          <w:sz w:val="21"/>
          <w:szCs w:val="21"/>
        </w:rPr>
        <w:t xml:space="preserve">MyntriqOS memory is the second kind. </w:t>
      </w:r>
      <w:r>
        <w:rPr>
          <w:rFonts w:ascii="Inter" w:cs="Inter" w:eastAsia="Inter" w:hAnsi="Inter"/>
          <w:b w:val="false"/>
          <w:bCs w:val="false"/>
          <w:color w:val="14210F"/>
          <w:sz w:val="21"/>
          <w:szCs w:val="21"/>
        </w:rPr>
        <w:t xml:space="preserve">It persists in the database across conversations, across sessions, and across agents. A customer who explained their delivery constraint in March does not explain it again in September, and does not have to be talking to the same agent for it to be known.</w:t>
      </w:r>
    </w:p>
    <w:p>
      <w:pPr>
        <w:pStyle w:val="Heading3"/>
        <w:spacing w:after="120" w:before="240"/>
      </w:pPr>
      <w:r>
        <w:rPr>
          <w:rFonts w:ascii="Inter" w:cs="Inter" w:eastAsia="Inter" w:hAnsi="Inter"/>
          <w:b/>
          <w:bCs/>
          <w:color w:val="14210F"/>
          <w:sz w:val="23"/>
          <w:szCs w:val="23"/>
        </w:rPr>
        <w:t xml:space="preserve">Structured, not a transcript</w:t>
      </w:r>
    </w:p>
    <w:p>
      <w:pPr>
        <w:spacing w:after="160" w:line="300"/>
      </w:pPr>
      <w:r>
        <w:rPr>
          <w:rFonts w:ascii="Inter" w:cs="Inter" w:eastAsia="Inter" w:hAnsi="Inter"/>
          <w:b w:val="false"/>
          <w:bCs w:val="false"/>
          <w:color w:val="14210F"/>
          <w:sz w:val="21"/>
          <w:szCs w:val="21"/>
        </w:rPr>
        <w:t xml:space="preserve">Memory is stored as typed facts — a category, a key and a value — rather than as saved conversation text. This is a deliberate constraint with two consequences. A fact can be read, corrected and removed individually, which a transcript cannot. And an agent retrieving memory receives what is known rather than everything that was said, which keeps a long relationship from degrading answer quality as it accumulates.</w:t>
      </w:r>
    </w:p>
    <w:p>
      <w:pPr>
        <w:pStyle w:val="Heading3"/>
        <w:spacing w:after="120" w:before="240"/>
      </w:pPr>
      <w:r>
        <w:rPr>
          <w:rFonts w:ascii="Inter" w:cs="Inter" w:eastAsia="Inter" w:hAnsi="Inter"/>
          <w:b/>
          <w:bCs/>
          <w:color w:val="14210F"/>
          <w:sz w:val="23"/>
          <w:szCs w:val="23"/>
        </w:rPr>
        <w:t xml:space="preserve">Every memory carries its provenance and its confidence</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Recorded with each fact</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Why it is there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The conversation it came from</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 memory can always be traced to the exchange that produced it. "Where did you get that?" is answerable</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 confidence level</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Something inferred once is held differently from something stated plainly and repeatedly</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When it was last confirmed</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 fact learned two years ago and never reconfirmed is treated as weaker than one confirmed last week — memory ages rather than hardening</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What superseded it</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 changed fact does not overwrite the old one; it supersedes it, and the previous value remains</w:t>
            </w:r>
          </w:p>
        </w:tc>
      </w:tr>
    </w:tbl>
    <w:p>
      <w:pPr>
        <w:spacing w:after="200"/>
      </w:pPr>
    </w:p>
    <w:p>
      <w:pPr>
        <w:spacing w:after="160" w:line="300"/>
      </w:pPr>
      <w:r>
        <w:rPr>
          <w:rFonts w:ascii="Inter" w:cs="Inter" w:eastAsia="Inter" w:hAnsi="Inter"/>
          <w:b w:val="false"/>
          <w:bCs w:val="false"/>
          <w:color w:val="14210F"/>
          <w:sz w:val="21"/>
          <w:szCs w:val="21"/>
        </w:rPr>
        <w:t xml:space="preserve">That last property is the one worth dwelling on. </w:t>
      </w:r>
      <w:r>
        <w:rPr>
          <w:rFonts w:ascii="Inter" w:cs="Inter" w:eastAsia="Inter" w:hAnsi="Inter"/>
          <w:b/>
          <w:bCs/>
          <w:color w:val="14210F"/>
          <w:sz w:val="21"/>
          <w:szCs w:val="21"/>
        </w:rPr>
        <w:t xml:space="preserve">Memory is append-and-supersede, never overwrite.</w:t>
      </w:r>
      <w:r>
        <w:rPr>
          <w:rFonts w:ascii="Inter" w:cs="Inter" w:eastAsia="Inter" w:hAnsi="Inter"/>
          <w:b w:val="false"/>
          <w:bCs w:val="false"/>
          <w:color w:val="14210F"/>
          <w:sz w:val="21"/>
          <w:szCs w:val="21"/>
        </w:rPr>
        <w:t xml:space="preserve"> The consequence is that the audit story extends to what the system believed, not only to what it did. If a decision made in March looks wrong in September, it is possible to establish what the system understood at the time — and whether it acted reasonably on what it then knew. A memory store that overwrites in place cannot answer that question, because the evidence was destroyed by the update.</w:t>
      </w:r>
    </w:p>
    <w:p>
      <w:pPr>
        <w:pStyle w:val="Heading3"/>
        <w:spacing w:after="120" w:before="240"/>
      </w:pPr>
      <w:r>
        <w:rPr>
          <w:rFonts w:ascii="Inter" w:cs="Inter" w:eastAsia="Inter" w:hAnsi="Inter"/>
          <w:b/>
          <w:bCs/>
          <w:color w:val="14210F"/>
          <w:sz w:val="23"/>
          <w:szCs w:val="23"/>
        </w:rPr>
        <w:t xml:space="preserve">Persistence is bounded</w:t>
      </w:r>
    </w:p>
    <w:p>
      <w:pPr>
        <w:spacing w:after="160" w:line="300"/>
      </w:pPr>
      <w:r>
        <w:rPr>
          <w:rFonts w:ascii="Inter" w:cs="Inter" w:eastAsia="Inter" w:hAnsi="Inter"/>
          <w:b w:val="false"/>
          <w:bCs w:val="false"/>
          <w:color w:val="14210F"/>
          <w:sz w:val="21"/>
          <w:szCs w:val="21"/>
        </w:rPr>
        <w:t xml:space="preserve">Retention dates are recorded against memory records, so persistence is a decision rather than a default of forever. Memory is the category most likely to accumulate personal detail that nobody consciously chose to collect, and an AI system that remembers indefinitely by default becomes a data-protection liability that grows on its own.</w:t>
      </w:r>
    </w:p>
    <w:p>
      <w:pPr>
        <w:pStyle w:val="Heading2"/>
        <w:spacing w:after="140" w:before="340"/>
      </w:pPr>
      <w:r>
        <w:rPr>
          <w:rFonts w:ascii="Manrope" w:cs="Manrope" w:eastAsia="Manrope" w:hAnsi="Manrope"/>
          <w:b/>
          <w:bCs/>
          <w:color w:val="2E471F"/>
          <w:sz w:val="28"/>
          <w:szCs w:val="28"/>
        </w:rPr>
        <w:t xml:space="preserve">Three memories, three different visibility rules</w:t>
      </w:r>
    </w:p>
    <w:p>
      <w:pPr>
        <w:spacing w:after="160" w:line="300"/>
      </w:pPr>
      <w:r>
        <w:rPr>
          <w:rFonts w:ascii="Inter" w:cs="Inter" w:eastAsia="Inter" w:hAnsi="Inter"/>
          <w:b w:val="false"/>
          <w:bCs w:val="false"/>
          <w:color w:val="14210F"/>
          <w:sz w:val="21"/>
          <w:szCs w:val="21"/>
        </w:rPr>
        <w:t xml:space="preserve">MyntriqOS separates memory into three stores. They are not one table with a flag, because who may read each one differs materially, and a flag is something application code can get wrong.</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Memory</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What it holds</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Who may read it</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Customer memory</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What is known about a customer — accumulated across conversations, with the conversation it came from and a confidence level</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Any member of the organisation serving that customer. Written only by the system, never by a user</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Agent session memory</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What an agent has learnt while working with one person</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Only that person. Not their colleagues, not their manager</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Executive memory</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Confidential context held for a named individual</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Only its owner — on reading, writing, amending and deleting alike</w:t>
            </w:r>
          </w:p>
        </w:tc>
      </w:tr>
    </w:tbl>
    <w:p>
      <w:pPr>
        <w:spacing w:after="200"/>
      </w:pPr>
    </w:p>
    <w:p>
      <w:pPr>
        <w:spacing w:after="160" w:line="300"/>
      </w:pPr>
      <w:r>
        <w:rPr>
          <w:rFonts w:ascii="Inter" w:cs="Inter" w:eastAsia="Inter" w:hAnsi="Inter"/>
          <w:b/>
          <w:bCs/>
          <w:color w:val="14210F"/>
          <w:sz w:val="21"/>
          <w:szCs w:val="21"/>
        </w:rPr>
        <w:t xml:space="preserve">The asymmetry is the design. </w:t>
      </w:r>
      <w:r>
        <w:rPr>
          <w:rFonts w:ascii="Inter" w:cs="Inter" w:eastAsia="Inter" w:hAnsi="Inter"/>
          <w:b w:val="false"/>
          <w:bCs w:val="false"/>
          <w:color w:val="14210F"/>
          <w:sz w:val="21"/>
          <w:szCs w:val="21"/>
        </w:rPr>
        <w:t xml:space="preserve">Customer memory is readable by colleagues because serving a customer is a shared job; it is not writable by them, because a record of what a customer said should not be editable by whoever is looking at it. Executive memory inverts this completely: its owner controls all four operations and nobody else holds any.</w:t>
      </w:r>
    </w:p>
    <w:p>
      <w:pPr>
        <w:pStyle w:val="Heading2"/>
        <w:spacing w:after="140" w:before="340"/>
      </w:pPr>
      <w:r>
        <w:rPr>
          <w:rFonts w:ascii="Manrope" w:cs="Manrope" w:eastAsia="Manrope" w:hAnsi="Manrope"/>
          <w:b/>
          <w:bCs/>
          <w:color w:val="2E471F"/>
          <w:sz w:val="28"/>
          <w:szCs w:val="28"/>
        </w:rPr>
        <w:t xml:space="preserve">An agent cannot write into a person's confidential memory</w:t>
      </w:r>
    </w:p>
    <w:p>
      <w:pPr>
        <w:spacing w:after="160" w:line="300"/>
      </w:pPr>
      <w:r>
        <w:rPr>
          <w:rFonts w:ascii="Inter" w:cs="Inter" w:eastAsia="Inter" w:hAnsi="Inter"/>
          <w:b w:val="false"/>
          <w:bCs w:val="false"/>
          <w:color w:val="14210F"/>
          <w:sz w:val="21"/>
          <w:szCs w:val="21"/>
        </w:rPr>
        <w:t xml:space="preserve">Executive memory carries an owner-only write rule, and that rule has a consequence worth stating plainly to anyone assessing autonomous operation: an AI agent cannot place anything there on someone's behalf. Autonomous writing into a named individual's confidential context is not restricted by policy — it is structurally impossible, because the write requires the owner to be the actor.</w:t>
      </w:r>
    </w:p>
    <w:p>
      <w:pPr>
        <w:spacing w:after="160" w:line="300"/>
      </w:pPr>
      <w:r>
        <w:rPr>
          <w:rFonts w:ascii="Inter" w:cs="Inter" w:eastAsia="Inter" w:hAnsi="Inter"/>
          <w:b w:val="false"/>
          <w:bCs w:val="false"/>
          <w:color w:val="14210F"/>
          <w:sz w:val="21"/>
          <w:szCs w:val="21"/>
        </w:rPr>
        <w:t xml:space="preserve">Executive memory also defaults to the most restrictive classification available rather than the least. A record created without anyone specifying its sensitivity is treated as highly restricted until someone decides otherwise. Defaults are where confidentiality is usually lost, because they apply to every record nobody thought about.</w:t>
      </w:r>
    </w:p>
    <w:p>
      <w:pPr>
        <w:pStyle w:val="Heading2"/>
        <w:spacing w:after="140" w:before="340"/>
      </w:pPr>
      <w:r>
        <w:rPr>
          <w:rFonts w:ascii="Manrope" w:cs="Manrope" w:eastAsia="Manrope" w:hAnsi="Manrope"/>
          <w:b/>
          <w:bCs/>
          <w:color w:val="2E471F"/>
          <w:sz w:val="28"/>
          <w:szCs w:val="28"/>
        </w:rPr>
        <w:t xml:space="preserve">Attachments are deliberately not pooled</w:t>
      </w:r>
    </w:p>
    <w:p>
      <w:pPr>
        <w:spacing w:after="160" w:line="300"/>
      </w:pPr>
      <w:r>
        <w:rPr>
          <w:rFonts w:ascii="Inter" w:cs="Inter" w:eastAsia="Inter" w:hAnsi="Inter"/>
          <w:b w:val="false"/>
          <w:bCs w:val="false"/>
          <w:color w:val="14210F"/>
          <w:sz w:val="21"/>
          <w:szCs w:val="21"/>
        </w:rPr>
        <w:t xml:space="preserve">When a customer sends a document in a conversation, its text is extracted and attached to that conversation — and deliberately not added to the shared retrieval index the agents search. The reasoning is the leak described above: pooling one customer's private attachment into a common index would let an unrelated future conversation retrieve it. The cost is that an attachment is not searchable across the estate. That cost is accepted on purpose.</w:t>
      </w:r>
    </w:p>
    <w:p>
      <w:pPr>
        <w:pStyle w:val="Heading2"/>
        <w:spacing w:after="140" w:before="340"/>
      </w:pPr>
      <w:r>
        <w:rPr>
          <w:rFonts w:ascii="Manrope" w:cs="Manrope" w:eastAsia="Manrope" w:hAnsi="Manrope"/>
          <w:b/>
          <w:bCs/>
          <w:color w:val="2E471F"/>
          <w:sz w:val="28"/>
          <w:szCs w:val="28"/>
        </w:rPr>
        <w:t xml:space="preserve">Consent and retention are recorded on the memory itself</w:t>
      </w:r>
    </w:p>
    <w:p>
      <w:pPr>
        <w:spacing w:after="160" w:line="300"/>
      </w:pPr>
      <w:r>
        <w:rPr>
          <w:rFonts w:ascii="Inter" w:cs="Inter" w:eastAsia="Inter" w:hAnsi="Inter"/>
          <w:b w:val="false"/>
          <w:bCs w:val="false"/>
          <w:color w:val="14210F"/>
          <w:sz w:val="21"/>
          <w:szCs w:val="21"/>
        </w:rPr>
        <w:t xml:space="preserve">Executive memory carries an explicit consent-to-share flag and a retention date on each record, rather than inheriting a blanket organisational policy. Memory is the category most likely to accumulate personal detail that nobody decided to collect, so the fields governing its sharing and its removal belong on the record and not in a policy document elsewhere.</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tblGrid>
      <w:tr>
        <w:tc>
          <w:tcPr>
            <w:shd w:fill="F5F8F1" w:color="auto" w:val="clear"/>
            <w:tcMar>
              <w:top w:type="dxa" w:w="200"/>
              <w:left w:type="dxa" w:w="220"/>
              <w:bottom w:type="dxa" w:w="200"/>
              <w:right w:type="dxa" w:w="220"/>
            </w:tcMar>
          </w:tcPr>
          <w:p>
            <w:pPr>
              <w:spacing w:after="0" w:line="280"/>
            </w:pPr>
            <w:r>
              <w:rPr>
                <w:rFonts w:ascii="Manrope" w:cs="Manrope" w:eastAsia="Manrope" w:hAnsi="Manrope"/>
                <w:b w:val="false"/>
                <w:bCs w:val="false"/>
                <w:color w:val="2E471F"/>
                <w:sz w:val="21"/>
                <w:szCs w:val="21"/>
              </w:rPr>
              <w:t xml:space="preserve">The distinction to hold on to Knowledge answers "what is true, and what do our rules say" — it is retrieved, cited, and governed by an approval workflow. Memory answers "what happened, and with whom" — it accumulates automatically and is governed by ownership. A platform that treats them as one thing will either make its memory too visible or its knowledge too hard to share, and usually the former.</w:t>
            </w:r>
          </w:p>
        </w:tc>
      </w:tr>
    </w:tbl>
    <w:p>
      <w:pPr>
        <w:spacing w:after="200"/>
      </w:pPr>
    </w:p>
    <w:p>
      <w:pPr>
        <w:pStyle w:val="Heading1"/>
        <w:spacing w:after="200" w:before="480"/>
      </w:pPr>
      <w:r>
        <w:rPr>
          <w:rFonts w:ascii="Manrope" w:cs="Manrope" w:eastAsia="Manrope" w:hAnsi="Manrope"/>
          <w:b/>
          <w:bCs/>
          <w:color w:val="2E471F"/>
          <w:sz w:val="40"/>
          <w:szCs w:val="40"/>
        </w:rPr>
        <w:t xml:space="preserve">10. Asking the business a question</w:t>
      </w:r>
    </w:p>
    <w:p>
      <w:pPr>
        <w:spacing w:after="220" w:line="320"/>
      </w:pPr>
      <w:r>
        <w:rPr>
          <w:rFonts w:ascii="Inter" w:cs="Inter" w:eastAsia="Inter" w:hAnsi="Inter"/>
          <w:b w:val="false"/>
          <w:bCs w:val="false"/>
          <w:color w:val="14210F"/>
          <w:sz w:val="24"/>
          <w:szCs w:val="24"/>
        </w:rPr>
        <w:t xml:space="preserve">Knowledge is what the organisation knows. Memory is what happened. The third way a question gets answered is from the numbers — and it is where natural-language interfaces most often produce a confident wrong answer.</w:t>
      </w:r>
    </w:p>
    <w:p>
      <w:pPr>
        <w:pStyle w:val="Heading2"/>
        <w:spacing w:after="140" w:before="340"/>
      </w:pPr>
      <w:r>
        <w:rPr>
          <w:rFonts w:ascii="Manrope" w:cs="Manrope" w:eastAsia="Manrope" w:hAnsi="Manrope"/>
          <w:b/>
          <w:bCs/>
          <w:color w:val="2E471F"/>
          <w:sz w:val="28"/>
          <w:szCs w:val="28"/>
        </w:rPr>
        <w:t xml:space="preserve">The approach almost everybody takes, and why it fails a review</w:t>
      </w:r>
    </w:p>
    <w:p>
      <w:pPr>
        <w:spacing w:after="160" w:line="300"/>
      </w:pPr>
      <w:r>
        <w:rPr>
          <w:rFonts w:ascii="Inter" w:cs="Inter" w:eastAsia="Inter" w:hAnsi="Inter"/>
          <w:b w:val="false"/>
          <w:bCs w:val="false"/>
          <w:color w:val="14210F"/>
          <w:sz w:val="21"/>
          <w:szCs w:val="21"/>
        </w:rPr>
        <w:t xml:space="preserve">The common implementation hands the database schema to a model and asks it to write the query. It demonstrates beautifully. It also means the model has seen your schema, can compose any query the credentials permit, and can be wrong in ways that look exactly like being right — a plausible number, correctly formatted, from a query nobody reviewed.</w:t>
      </w:r>
    </w:p>
    <w:p>
      <w:pPr>
        <w:spacing w:after="160" w:line="300"/>
      </w:pPr>
      <w:r>
        <w:rPr>
          <w:rFonts w:ascii="Inter" w:cs="Inter" w:eastAsia="Inter" w:hAnsi="Inter"/>
          <w:b w:val="false"/>
          <w:bCs w:val="false"/>
          <w:color w:val="14210F"/>
          <w:sz w:val="21"/>
          <w:szCs w:val="21"/>
        </w:rPr>
        <w:t xml:space="preserve">The problem is not that the model is unreliable. It is that </w:t>
      </w:r>
      <w:r>
        <w:rPr>
          <w:rFonts w:ascii="Inter" w:cs="Inter" w:eastAsia="Inter" w:hAnsi="Inter"/>
          <w:b/>
          <w:bCs/>
          <w:color w:val="14210F"/>
          <w:sz w:val="21"/>
          <w:szCs w:val="21"/>
        </w:rPr>
        <w:t xml:space="preserve">a wrong answer and a right answer are indistinguishable to the person who asked</w:t>
      </w:r>
      <w:r>
        <w:rPr>
          <w:rFonts w:ascii="Inter" w:cs="Inter" w:eastAsia="Inter" w:hAnsi="Inter"/>
          <w:b w:val="false"/>
          <w:bCs w:val="false"/>
          <w:color w:val="14210F"/>
          <w:sz w:val="21"/>
          <w:szCs w:val="21"/>
        </w:rPr>
        <w:t xml:space="preserve">, because they asked precisely because they did not already know. An executive cannot audit a number they requested in order to learn something.</w:t>
      </w:r>
    </w:p>
    <w:p>
      <w:pPr>
        <w:pStyle w:val="Heading2"/>
        <w:spacing w:after="140" w:before="340"/>
      </w:pPr>
      <w:r>
        <w:rPr>
          <w:rFonts w:ascii="Manrope" w:cs="Manrope" w:eastAsia="Manrope" w:hAnsi="Manrope"/>
          <w:b/>
          <w:bCs/>
          <w:color w:val="2E471F"/>
          <w:sz w:val="28"/>
          <w:szCs w:val="28"/>
        </w:rPr>
        <w:t xml:space="preserve">The model chooses; it does not compose</w:t>
      </w:r>
    </w:p>
    <w:p>
      <w:pPr>
        <w:spacing w:after="160" w:line="300"/>
      </w:pPr>
      <w:r>
        <w:rPr>
          <w:rFonts w:ascii="Inter" w:cs="Inter" w:eastAsia="Inter" w:hAnsi="Inter"/>
          <w:b w:val="false"/>
          <w:bCs w:val="false"/>
          <w:color w:val="14210F"/>
          <w:sz w:val="21"/>
          <w:szCs w:val="21"/>
        </w:rPr>
        <w:t xml:space="preserve">MyntriqOS inverts the arrangement. Reporting is defined as a semantic model — a curated vocabulary of measures and dimensions, authored and reviewed in the repository like any other governed asset. A natural-language question is answered in two steps, and the model writes no query in either:</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Step</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What happens</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What the model sees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Plan</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The model selects one view from a whitelist and supplies a few bounded parameters — a period, a limit, a stage</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The names and descriptions of the available views. No schema, no rows, no identifiers</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Answer</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The platform runs the selected view under the caller's own permissions and returns the rows</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Nothing — this step is the platform's, not the model's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Narrate</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The model writes a short summary from the rows that were actually returned</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Only the result already authorised for that person</w:t>
            </w:r>
          </w:p>
        </w:tc>
      </w:tr>
    </w:tbl>
    <w:p>
      <w:pPr>
        <w:spacing w:after="200"/>
      </w:pPr>
    </w:p>
    <w:p>
      <w:pPr>
        <w:spacing w:after="160" w:line="300"/>
      </w:pPr>
      <w:r>
        <w:rPr>
          <w:rFonts w:ascii="Inter" w:cs="Inter" w:eastAsia="Inter" w:hAnsi="Inter"/>
          <w:b w:val="false"/>
          <w:bCs w:val="false"/>
          <w:color w:val="14210F"/>
          <w:sz w:val="21"/>
          <w:szCs w:val="21"/>
        </w:rPr>
        <w:t xml:space="preserve">The scope of the query is fixed by the platform and is not a parameter the model can influence. A model that attempted to name an organisation, a user or a customer would have no effect — those values are supplied by the server from the caller's own identity, exactly as they are everywhere else in the system.</w:t>
      </w:r>
    </w:p>
    <w:p>
      <w:pPr>
        <w:pStyle w:val="Heading2"/>
        <w:spacing w:after="140" w:before="340"/>
      </w:pPr>
      <w:r>
        <w:rPr>
          <w:rFonts w:ascii="Manrope" w:cs="Manrope" w:eastAsia="Manrope" w:hAnsi="Manrope"/>
          <w:b/>
          <w:bCs/>
          <w:color w:val="2E471F"/>
          <w:sz w:val="28"/>
          <w:szCs w:val="28"/>
        </w:rPr>
        <w:t xml:space="preserve">Why a curated vocabulary beats a bigger catalogue of reports</w:t>
      </w:r>
    </w:p>
    <w:p>
      <w:pPr>
        <w:spacing w:after="160" w:line="300"/>
      </w:pPr>
      <w:r>
        <w:rPr>
          <w:rFonts w:ascii="Inter" w:cs="Inter" w:eastAsia="Inter" w:hAnsi="Inter"/>
          <w:b w:val="false"/>
          <w:bCs w:val="false"/>
          <w:color w:val="14210F"/>
          <w:sz w:val="21"/>
          <w:szCs w:val="21"/>
        </w:rPr>
        <w:t xml:space="preserve">The alternative to a semantic model is a library of hand-built reports, where answering a new question means building the next one. That does not scale, and it decays: the library grows until nobody knows which report is authoritative.</w:t>
      </w:r>
    </w:p>
    <w:p>
      <w:pPr>
        <w:spacing w:after="160" w:line="300"/>
      </w:pPr>
      <w:r>
        <w:rPr>
          <w:rFonts w:ascii="Inter" w:cs="Inter" w:eastAsia="Inter" w:hAnsi="Inter"/>
          <w:b w:val="false"/>
          <w:bCs w:val="false"/>
          <w:color w:val="14210F"/>
          <w:sz w:val="21"/>
          <w:szCs w:val="21"/>
        </w:rPr>
        <w:t xml:space="preserve">A modelled vocabulary composes instead. </w:t>
      </w:r>
      <w:r>
        <w:rPr>
          <w:rFonts w:ascii="Inter" w:cs="Inter" w:eastAsia="Inter" w:hAnsi="Inter"/>
          <w:b/>
          <w:bCs/>
          <w:color w:val="14210F"/>
          <w:sz w:val="21"/>
          <w:szCs w:val="21"/>
        </w:rPr>
        <w:t xml:space="preserve">Ten measures across six dimensions generate hundreds of defensible views without new code</w:t>
      </w:r>
      <w:r>
        <w:rPr>
          <w:rFonts w:ascii="Inter" w:cs="Inter" w:eastAsia="Inter" w:hAnsi="Inter"/>
          <w:b w:val="false"/>
          <w:bCs w:val="false"/>
          <w:color w:val="14210F"/>
          <w:sz w:val="21"/>
          <w:szCs w:val="21"/>
        </w:rPr>
        <w:t xml:space="preserve"> — and, more importantly, a question about something that was never modelled is impossible to ask rather than merely discouraged. There is no path by which an unreviewed number reaches an executive summary.</w:t>
      </w:r>
    </w:p>
    <w:p>
      <w:pPr>
        <w:pStyle w:val="Heading2"/>
        <w:spacing w:after="140" w:before="340"/>
      </w:pPr>
      <w:r>
        <w:rPr>
          <w:rFonts w:ascii="Manrope" w:cs="Manrope" w:eastAsia="Manrope" w:hAnsi="Manrope"/>
          <w:b/>
          <w:bCs/>
          <w:color w:val="2E471F"/>
          <w:sz w:val="28"/>
          <w:szCs w:val="28"/>
        </w:rPr>
        <w:t xml:space="preserve">The detail that decides whether the numbers can be trusted</w:t>
      </w:r>
    </w:p>
    <w:p>
      <w:pPr>
        <w:spacing w:after="160" w:line="300"/>
      </w:pPr>
      <w:r>
        <w:rPr>
          <w:rFonts w:ascii="Inter" w:cs="Inter" w:eastAsia="Inter" w:hAnsi="Inter"/>
          <w:b w:val="false"/>
          <w:bCs w:val="false"/>
          <w:color w:val="14210F"/>
          <w:sz w:val="21"/>
          <w:szCs w:val="21"/>
        </w:rPr>
        <w:t xml:space="preserve">Every measure declares whether it may be added up, and across what. This sounds like a technical footnote and is the most consequential rule in the section.</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Class</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Meaning</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Examples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Additive</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May be summed across every dimension</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Revenue, ticket count</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Semi-additive</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Summable across some dimensions but not across time</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Headcount, account balance, open pipeline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Non-additive</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Never summed — recomputed from its components</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Margin percentage, conversion rate</w:t>
            </w:r>
          </w:p>
        </w:tc>
      </w:tr>
    </w:tbl>
    <w:p>
      <w:pPr>
        <w:spacing w:after="200"/>
      </w:pPr>
    </w:p>
    <w:p>
      <w:pPr>
        <w:spacing w:after="160" w:line="300"/>
      </w:pPr>
      <w:r>
        <w:rPr>
          <w:rFonts w:ascii="Inter" w:cs="Inter" w:eastAsia="Inter" w:hAnsi="Inter"/>
          <w:b w:val="false"/>
          <w:bCs w:val="false"/>
          <w:color w:val="14210F"/>
          <w:sz w:val="21"/>
          <w:szCs w:val="21"/>
        </w:rPr>
        <w:t xml:space="preserve">A reporting engine will cheerfully add up anything it is given, and </w:t>
      </w:r>
      <w:r>
        <w:rPr>
          <w:rFonts w:ascii="Inter" w:cs="Inter" w:eastAsia="Inter" w:hAnsi="Inter"/>
          <w:b/>
          <w:bCs/>
          <w:color w:val="14210F"/>
          <w:sz w:val="21"/>
          <w:szCs w:val="21"/>
        </w:rPr>
        <w:t xml:space="preserve">adding percentages produces a confident wrong number that looks exactly like a right one.</w:t>
      </w:r>
      <w:r>
        <w:rPr>
          <w:rFonts w:ascii="Inter" w:cs="Inter" w:eastAsia="Inter" w:hAnsi="Inter"/>
          <w:b w:val="false"/>
          <w:bCs w:val="false"/>
          <w:color w:val="14210F"/>
          <w:sz w:val="21"/>
          <w:szCs w:val="21"/>
        </w:rPr>
        <w:t xml:space="preserve"> A measure whose additivity has not been declared is treated as non-additive — the safe default is "do not add this" rather than "add it and hope". That is the same principle applied to arithmetic that the rest of the platform applies to authority: the unstated case fails closed.</w:t>
      </w:r>
    </w:p>
    <w:p>
      <w:pPr>
        <w:pStyle w:val="Heading2"/>
        <w:spacing w:after="140" w:before="340"/>
      </w:pPr>
      <w:r>
        <w:rPr>
          <w:rFonts w:ascii="Manrope" w:cs="Manrope" w:eastAsia="Manrope" w:hAnsi="Manrope"/>
          <w:b/>
          <w:bCs/>
          <w:color w:val="2E471F"/>
          <w:sz w:val="28"/>
          <w:szCs w:val="28"/>
        </w:rPr>
        <w:t xml:space="preserve">The definitions belong to you, not to the reporting tool</w:t>
      </w:r>
    </w:p>
    <w:p>
      <w:pPr>
        <w:spacing w:after="160" w:line="300"/>
      </w:pPr>
      <w:r>
        <w:rPr>
          <w:rFonts w:ascii="Inter" w:cs="Inter" w:eastAsia="Inter" w:hAnsi="Inter"/>
          <w:b w:val="false"/>
          <w:bCs w:val="false"/>
          <w:color w:val="14210F"/>
          <w:sz w:val="21"/>
          <w:szCs w:val="21"/>
        </w:rPr>
        <w:t xml:space="preserve">The semantic model lives in the platform, not inside whichever reporting engine executes it. Definitions are compiled into the engine rather than authored there, and the boundary between the two is deliberate.</w:t>
      </w:r>
    </w:p>
    <w:p>
      <w:pPr>
        <w:spacing w:after="160" w:line="300"/>
      </w:pPr>
      <w:r>
        <w:rPr>
          <w:rFonts w:ascii="Inter" w:cs="Inter" w:eastAsia="Inter" w:hAnsi="Inter"/>
          <w:b w:val="false"/>
          <w:bCs w:val="false"/>
          <w:color w:val="14210F"/>
          <w:sz w:val="21"/>
          <w:szCs w:val="21"/>
        </w:rPr>
        <w:t xml:space="preserve">Definitions authored inside a third-party tool are undiscoverable, unreviewable, and lost on the day that tool is replaced. Holding them as versioned, reviewable assets means a change to how a metric is calculated is a reviewable event with an author and a date — the same standard applied to a change in process or in authority — and it means the reporting engine can be replaced without renegotiating what "revenue" means.</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tblGrid>
      <w:tr>
        <w:tc>
          <w:tcPr>
            <w:shd w:fill="F5F8F1" w:color="auto" w:val="clear"/>
            <w:tcMar>
              <w:top w:type="dxa" w:w="200"/>
              <w:left w:type="dxa" w:w="220"/>
              <w:bottom w:type="dxa" w:w="200"/>
              <w:right w:type="dxa" w:w="220"/>
            </w:tcMar>
          </w:tcPr>
          <w:p>
            <w:pPr>
              <w:spacing w:after="0" w:line="280"/>
            </w:pPr>
            <w:r>
              <w:rPr>
                <w:rFonts w:ascii="Manrope" w:cs="Manrope" w:eastAsia="Manrope" w:hAnsi="Manrope"/>
                <w:b w:val="false"/>
                <w:bCs w:val="false"/>
                <w:color w:val="2E471F"/>
                <w:sz w:val="21"/>
                <w:szCs w:val="21"/>
              </w:rPr>
              <w:t xml:space="preserve">The connection to the rest of this document An answer nobody can verify is worth less than no answer, because it will be acted upon. Curating the vocabulary, forbidding the model from composing queries, and failing closed on arithmetic are the same discipline applied to reporting that delegation and audit apply to action — which is why the numbers can be put in front of a board rather than merely into a dashboard.</w:t>
            </w:r>
          </w:p>
        </w:tc>
      </w:tr>
    </w:tbl>
    <w:p>
      <w:pPr>
        <w:spacing w:after="200"/>
      </w:pPr>
    </w:p>
    <w:p>
      <w:pPr>
        <w:pStyle w:val="Heading1"/>
        <w:spacing w:after="200" w:before="480"/>
      </w:pPr>
      <w:r>
        <w:rPr>
          <w:rFonts w:ascii="Manrope" w:cs="Manrope" w:eastAsia="Manrope" w:hAnsi="Manrope"/>
          <w:b/>
          <w:bCs/>
          <w:color w:val="2E471F"/>
          <w:sz w:val="40"/>
          <w:szCs w:val="40"/>
        </w:rPr>
        <w:t xml:space="preserve">11. Delegated authority: human oversight through to autonomy</w:t>
      </w:r>
    </w:p>
    <w:p>
      <w:pPr>
        <w:spacing w:after="220" w:line="320"/>
      </w:pPr>
      <w:r>
        <w:rPr>
          <w:rFonts w:ascii="Inter" w:cs="Inter" w:eastAsia="Inter" w:hAnsi="Inter"/>
          <w:b w:val="false"/>
          <w:bCs w:val="false"/>
          <w:color w:val="14210F"/>
          <w:sz w:val="24"/>
          <w:szCs w:val="24"/>
        </w:rPr>
        <w:t xml:space="preserve">The central question of enterprise AI is not whether an agent can perform a task. It is what the agent is permitted to do without asking.</w:t>
      </w:r>
    </w:p>
    <w:p>
      <w:pPr>
        <w:spacing w:after="160" w:line="300"/>
      </w:pPr>
      <w:r>
        <w:rPr>
          <w:rFonts w:ascii="Inter" w:cs="Inter" w:eastAsia="Inter" w:hAnsi="Inter"/>
          <w:b w:val="false"/>
          <w:bCs w:val="false"/>
          <w:color w:val="14210F"/>
          <w:sz w:val="21"/>
          <w:szCs w:val="21"/>
        </w:rPr>
        <w:t xml:space="preserve">MyntriqOS answers this with an explicit Delegation of Authority model, borrowed directly from how organisations already delegate spending and signing authority to people. Every consequential action an agent can take is a named intent, and every named intent is governed. The catalogue currently defines 61 such intents across sales, service, finance, marketing, human resources, operations and executive support.</w:t>
      </w:r>
    </w:p>
    <w:p>
      <w:pPr>
        <w:spacing w:after="160" w:line="300"/>
      </w:pPr>
      <w:r>
        <w:rPr>
          <w:rFonts w:ascii="Inter" w:cs="Inter" w:eastAsia="Inter" w:hAnsi="Inter"/>
          <w:b w:val="false"/>
          <w:bCs w:val="false"/>
          <w:color w:val="14210F"/>
          <w:sz w:val="21"/>
          <w:szCs w:val="21"/>
        </w:rPr>
        <w:t xml:space="preserve">Permissions are expressed as business intents rather than as interfaces. Not "this endpoint requires an administrator", but "creating a customer requires a manager" — a distinction that matters because the first is meaningless to the executive who has to approve the model, and the second is not.</w:t>
      </w:r>
    </w:p>
    <w:p>
      <w:pPr>
        <w:pStyle w:val="Heading2"/>
        <w:spacing w:after="140" w:before="340"/>
      </w:pPr>
      <w:r>
        <w:rPr>
          <w:rFonts w:ascii="Manrope" w:cs="Manrope" w:eastAsia="Manrope" w:hAnsi="Manrope"/>
          <w:b/>
          <w:bCs/>
          <w:color w:val="2E471F"/>
          <w:sz w:val="28"/>
          <w:szCs w:val="28"/>
        </w:rPr>
        <w:t xml:space="preserve">The structure of the guardrail</w:t>
      </w:r>
    </w:p>
    <w:p>
      <w:pPr>
        <w:spacing w:after="160" w:line="300"/>
      </w:pPr>
      <w:r>
        <w:rPr>
          <w:rFonts w:ascii="Inter" w:cs="Inter" w:eastAsia="Inter" w:hAnsi="Inter"/>
          <w:b w:val="false"/>
          <w:bCs w:val="false"/>
          <w:color w:val="14210F"/>
          <w:sz w:val="21"/>
          <w:szCs w:val="21"/>
        </w:rPr>
        <w:t xml:space="preserve">The delegation model has five moving parts. They are described here in full because a prospect assessing risk needs to see the shape of the control, not a summary of its intent.</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Component</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What it does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The gated intent</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Every consequential action is a named business intent — "create a customer", "issue an invoice" — rather than a technical endpoint. 57 are defined. Permissions are expressed against these, so the authority model is readable by the people accountable for it</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The authority level</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Each intent carries a minimum level: staff, manager or administrator. The level is a floor set by the platform; an organisation may raise it for itself and may never lower it below the floor</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Clearance mapping</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Which of your people hold which level is imported from the roles already defined in your own ERP or CRM, rather than maintained a second time inside MyntriqOS</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The mode</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Per agent and per workflow: ask before acting, act and notify, or act autonomously</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The approval shape</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Where approval is required: an ordered chain of named authorities, or a k-of-n quorum</w:t>
            </w:r>
          </w:p>
        </w:tc>
      </w:tr>
    </w:tbl>
    <w:p>
      <w:pPr>
        <w:spacing w:after="200"/>
      </w:pPr>
    </w:p>
    <w:p>
      <w:pPr>
        <w:pStyle w:val="Heading2"/>
        <w:spacing w:after="140" w:before="340"/>
      </w:pPr>
      <w:r>
        <w:rPr>
          <w:rFonts w:ascii="Manrope" w:cs="Manrope" w:eastAsia="Manrope" w:hAnsi="Manrope"/>
          <w:b/>
          <w:bCs/>
          <w:color w:val="2E471F"/>
          <w:sz w:val="28"/>
          <w:szCs w:val="28"/>
        </w:rPr>
        <w:t xml:space="preserve">Four ceilings that configuration cannot lift</w:t>
      </w:r>
    </w:p>
    <w:p>
      <w:pPr>
        <w:spacing w:after="160" w:line="300"/>
      </w:pPr>
      <w:r>
        <w:rPr>
          <w:rFonts w:ascii="Inter" w:cs="Inter" w:eastAsia="Inter" w:hAnsi="Inter"/>
          <w:b w:val="false"/>
          <w:bCs w:val="false"/>
          <w:color w:val="14210F"/>
          <w:sz w:val="21"/>
          <w:szCs w:val="21"/>
        </w:rPr>
        <w:t xml:space="preserve">The parts above are configurable, which is the point. These four are not, which is more important:</w:t>
      </w:r>
    </w:p>
    <w:p>
      <w:pPr>
        <w:pStyle w:val="ListParagraph"/>
        <w:numPr>
          <w:ilvl w:val="0"/>
          <w:numId w:val="2"/>
        </w:numPr>
        <w:spacing w:after="120" w:line="300"/>
      </w:pPr>
      <w:r>
        <w:rPr>
          <w:rFonts w:ascii="Inter" w:cs="Inter" w:eastAsia="Inter" w:hAnsi="Inter"/>
          <w:b/>
          <w:bCs/>
          <w:color w:val="14210F"/>
          <w:sz w:val="21"/>
          <w:szCs w:val="21"/>
        </w:rPr>
        <w:t xml:space="preserve">Some actions never execute autonomously. </w:t>
      </w:r>
      <w:r>
        <w:rPr>
          <w:rFonts w:ascii="Inter" w:cs="Inter" w:eastAsia="Inter" w:hAnsi="Inter"/>
          <w:b w:val="false"/>
          <w:bCs w:val="false"/>
          <w:color w:val="14210F"/>
          <w:sz w:val="21"/>
          <w:szCs w:val="21"/>
        </w:rPr>
        <w:t xml:space="preserve">Preparing a payment, issuing an invoice, approving a discount, granting or removing an administrator, deleting the organisation and disabling the audit log are excluded as a property of the platform. The classification is platform-owned and is never accepted from the caller, so no configuration reaches it.</w:t>
      </w:r>
    </w:p>
    <w:p>
      <w:pPr>
        <w:pStyle w:val="ListParagraph"/>
        <w:numPr>
          <w:ilvl w:val="0"/>
          <w:numId w:val="2"/>
        </w:numPr>
        <w:spacing w:after="120" w:line="300"/>
      </w:pPr>
      <w:r>
        <w:rPr>
          <w:rFonts w:ascii="Inter" w:cs="Inter" w:eastAsia="Inter" w:hAnsi="Inter"/>
          <w:b/>
          <w:bCs/>
          <w:color w:val="14210F"/>
          <w:sz w:val="21"/>
          <w:szCs w:val="21"/>
        </w:rPr>
        <w:t xml:space="preserve">The proposer can never approve. </w:t>
      </w:r>
      <w:r>
        <w:rPr>
          <w:rFonts w:ascii="Inter" w:cs="Inter" w:eastAsia="Inter" w:hAnsi="Inter"/>
          <w:b w:val="false"/>
          <w:bCs w:val="false"/>
          <w:color w:val="14210F"/>
          <w:sz w:val="21"/>
          <w:szCs w:val="21"/>
        </w:rPr>
        <w:t xml:space="preserve">Enforced inside the database rather than in application code, so it binds every path that reaches the data — including administrative tooling, and including a request constructed directly against the data API rather than through the product.</w:t>
      </w:r>
    </w:p>
    <w:p>
      <w:pPr>
        <w:pStyle w:val="ListParagraph"/>
        <w:numPr>
          <w:ilvl w:val="0"/>
          <w:numId w:val="2"/>
        </w:numPr>
        <w:spacing w:after="120" w:line="300"/>
      </w:pPr>
      <w:r>
        <w:rPr>
          <w:rFonts w:ascii="Inter" w:cs="Inter" w:eastAsia="Inter" w:hAnsi="Inter"/>
          <w:b/>
          <w:bCs/>
          <w:color w:val="14210F"/>
          <w:sz w:val="21"/>
          <w:szCs w:val="21"/>
        </w:rPr>
        <w:t xml:space="preserve">An agent may propose but never decide. </w:t>
      </w:r>
      <w:r>
        <w:rPr>
          <w:rFonts w:ascii="Inter" w:cs="Inter" w:eastAsia="Inter" w:hAnsi="Inter"/>
          <w:b w:val="false"/>
          <w:bCs w:val="false"/>
          <w:color w:val="14210F"/>
          <w:sz w:val="21"/>
          <w:szCs w:val="21"/>
        </w:rPr>
        <w:t xml:space="preserve">Each agent holds a non-interactive identity created with no credentials, permanently fixed at the lowest authority level. It can raise an action for approval; it cannot approve one, and it cannot approve its own.</w:t>
      </w:r>
    </w:p>
    <w:p>
      <w:pPr>
        <w:pStyle w:val="ListParagraph"/>
        <w:numPr>
          <w:ilvl w:val="0"/>
          <w:numId w:val="2"/>
        </w:numPr>
        <w:spacing w:after="120" w:line="300"/>
      </w:pPr>
      <w:r>
        <w:rPr>
          <w:rFonts w:ascii="Inter" w:cs="Inter" w:eastAsia="Inter" w:hAnsi="Inter"/>
          <w:b/>
          <w:bCs/>
          <w:color w:val="14210F"/>
          <w:sz w:val="21"/>
          <w:szCs w:val="21"/>
        </w:rPr>
        <w:t xml:space="preserve">Automating a whole process takes two people. </w:t>
      </w:r>
      <w:r>
        <w:rPr>
          <w:rFonts w:ascii="Inter" w:cs="Inter" w:eastAsia="Inter" w:hAnsi="Inter"/>
          <w:b w:val="false"/>
          <w:bCs w:val="false"/>
          <w:color w:val="14210F"/>
          <w:sz w:val="21"/>
          <w:szCs w:val="21"/>
        </w:rPr>
        <w:t xml:space="preserve">An administrator and a manager acting together. No single individual, at any level of seniority, can switch a business process to autonomous operation alone.</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tblGrid>
      <w:tr>
        <w:tc>
          <w:tcPr>
            <w:shd w:fill="F5F8F1" w:color="auto" w:val="clear"/>
            <w:tcMar>
              <w:top w:type="dxa" w:w="200"/>
              <w:left w:type="dxa" w:w="220"/>
              <w:bottom w:type="dxa" w:w="200"/>
              <w:right w:type="dxa" w:w="220"/>
            </w:tcMar>
          </w:tcPr>
          <w:p>
            <w:pPr>
              <w:spacing w:after="0" w:line="280"/>
            </w:pPr>
            <w:r>
              <w:rPr>
                <w:rFonts w:ascii="Manrope" w:cs="Manrope" w:eastAsia="Manrope" w:hAnsi="Manrope"/>
                <w:b w:val="false"/>
                <w:bCs w:val="false"/>
                <w:color w:val="2E471F"/>
                <w:sz w:val="21"/>
                <w:szCs w:val="21"/>
              </w:rPr>
              <w:t xml:space="preserve">Why the enforcement point matters more than the rule Most platforms implement separation of duties in application code. That is a rule the application follows, and a rule the application follows is a rule the application can be made to skip — by a defect, a new code path, or a direct call to the data layer that bypasses the check. Enforcing it inside the database means every writer is bound by it, including ones written after the rule was made. When a reviewer asks where a control lives, that is the distinction they are testing for.</w:t>
            </w:r>
          </w:p>
        </w:tc>
      </w:tr>
    </w:tbl>
    <w:p>
      <w:pPr>
        <w:spacing w:after="200"/>
      </w:pPr>
    </w:p>
    <w:p>
      <w:pPr>
        <w:pStyle w:val="Heading2"/>
        <w:spacing w:after="140" w:before="340"/>
      </w:pPr>
      <w:r>
        <w:rPr>
          <w:rFonts w:ascii="Manrope" w:cs="Manrope" w:eastAsia="Manrope" w:hAnsi="Manrope"/>
          <w:b/>
          <w:bCs/>
          <w:color w:val="2E471F"/>
          <w:sz w:val="28"/>
          <w:szCs w:val="28"/>
        </w:rPr>
        <w:t xml:space="preserve">Three modes, set per agent and per workflow</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Mode</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Agent behaviour</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Typical use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Ask before acting</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Proposes the action and waits for a human decision</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Financial commitments, customer-facing communications, contractual terms</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Act and notify</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Performs the action and raises it for review</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Routine record updates, internal scheduling, triage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Act autonomously</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Performs the action within defined thresholds</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High-volume, low-consequence, well-bounded work</w:t>
            </w:r>
          </w:p>
        </w:tc>
      </w:tr>
    </w:tbl>
    <w:p>
      <w:pPr>
        <w:spacing w:after="200"/>
      </w:pPr>
    </w:p>
    <w:p>
      <w:pPr>
        <w:spacing w:after="160" w:line="300"/>
      </w:pPr>
      <w:r>
        <w:rPr>
          <w:rFonts w:ascii="Inter" w:cs="Inter" w:eastAsia="Inter" w:hAnsi="Inter"/>
          <w:b w:val="false"/>
          <w:bCs w:val="false"/>
          <w:color w:val="14210F"/>
          <w:sz w:val="21"/>
          <w:szCs w:val="21"/>
        </w:rPr>
        <w:t xml:space="preserve">Autonomy is granted, never assumed. A new deployment begins with every gated action requiring human approval, and authority is widened deliberately as the organisation builds confidence in a specific agent performing a specific task.</w:t>
      </w:r>
    </w:p>
    <w:p>
      <w:pPr>
        <w:pStyle w:val="Heading2"/>
        <w:spacing w:after="140" w:before="340"/>
      </w:pPr>
      <w:r>
        <w:rPr>
          <w:rFonts w:ascii="Manrope" w:cs="Manrope" w:eastAsia="Manrope" w:hAnsi="Manrope"/>
          <w:b/>
          <w:bCs/>
          <w:color w:val="2E471F"/>
          <w:sz w:val="28"/>
          <w:szCs w:val="28"/>
        </w:rPr>
        <w:t xml:space="preserve">Thresholds and escalation chains</w:t>
      </w:r>
    </w:p>
    <w:p>
      <w:pPr>
        <w:spacing w:after="160" w:line="300"/>
      </w:pPr>
      <w:r>
        <w:rPr>
          <w:rFonts w:ascii="Inter" w:cs="Inter" w:eastAsia="Inter" w:hAnsi="Inter"/>
          <w:b w:val="false"/>
          <w:bCs w:val="false"/>
          <w:color w:val="14210F"/>
          <w:sz w:val="21"/>
          <w:szCs w:val="21"/>
        </w:rPr>
        <w:t xml:space="preserve">Authority is not binary. An action may be permitted below a value threshold and require approval above it, and approval may require more than one decision-maker as consequence increases — the same tiered structure an organisation already applies to purchase orders.</w:t>
      </w:r>
    </w:p>
    <w:p>
      <w:pPr>
        <w:spacing w:after="160" w:line="300"/>
      </w:pPr>
      <w:r>
        <w:rPr>
          <w:rFonts w:ascii="Inter" w:cs="Inter" w:eastAsia="Inter" w:hAnsi="Inter"/>
          <w:b w:val="false"/>
          <w:bCs w:val="false"/>
          <w:color w:val="14210F"/>
          <w:sz w:val="21"/>
          <w:szCs w:val="21"/>
        </w:rPr>
        <w:t xml:space="preserve">Two shapes of multi-party approval are supported, because organisations use both:</w:t>
      </w:r>
    </w:p>
    <w:p>
      <w:pPr>
        <w:pStyle w:val="ListParagraph"/>
        <w:numPr>
          <w:ilvl w:val="0"/>
          <w:numId w:val="2"/>
        </w:numPr>
        <w:spacing w:after="120" w:line="300"/>
      </w:pPr>
      <w:r>
        <w:rPr>
          <w:rFonts w:ascii="Inter" w:cs="Inter" w:eastAsia="Inter" w:hAnsi="Inter"/>
          <w:b/>
          <w:bCs/>
          <w:color w:val="14210F"/>
          <w:sz w:val="21"/>
          <w:szCs w:val="21"/>
        </w:rPr>
        <w:t xml:space="preserve">Ordered chain. </w:t>
      </w:r>
      <w:r>
        <w:rPr>
          <w:rFonts w:ascii="Inter" w:cs="Inter" w:eastAsia="Inter" w:hAnsi="Inter"/>
          <w:b w:val="false"/>
          <w:bCs w:val="false"/>
          <w:color w:val="14210F"/>
          <w:sz w:val="21"/>
          <w:szCs w:val="21"/>
        </w:rPr>
        <w:t xml:space="preserve">Approver one, then two, then N, each a named authority rather than a rank — "Sales Director, then Chief Financial Officer, then Board Chair" cannot be expressed as seniority levels when all three hold the same rank.</w:t>
      </w:r>
    </w:p>
    <w:p>
      <w:pPr>
        <w:pStyle w:val="ListParagraph"/>
        <w:numPr>
          <w:ilvl w:val="0"/>
          <w:numId w:val="2"/>
        </w:numPr>
        <w:spacing w:after="120" w:line="300"/>
      </w:pPr>
      <w:r>
        <w:rPr>
          <w:rFonts w:ascii="Inter" w:cs="Inter" w:eastAsia="Inter" w:hAnsi="Inter"/>
          <w:b/>
          <w:bCs/>
          <w:color w:val="14210F"/>
          <w:sz w:val="21"/>
          <w:szCs w:val="21"/>
        </w:rPr>
        <w:t xml:space="preserve">k-of-n quorum. </w:t>
      </w:r>
      <w:r>
        <w:rPr>
          <w:rFonts w:ascii="Inter" w:cs="Inter" w:eastAsia="Inter" w:hAnsi="Inter"/>
          <w:b w:val="false"/>
          <w:bCs w:val="false"/>
          <w:color w:val="14210F"/>
          <w:sz w:val="21"/>
          <w:szCs w:val="21"/>
        </w:rPr>
        <w:t xml:space="preserve">The action releases when any k of n named authorities agree. A credit committee needs three of five directors and would stall if it required a specific three.</w:t>
      </w:r>
    </w:p>
    <w:p>
      <w:pPr>
        <w:spacing w:after="160" w:line="300"/>
      </w:pPr>
      <w:r>
        <w:rPr>
          <w:rFonts w:ascii="Inter" w:cs="Inter" w:eastAsia="Inter" w:hAnsi="Inter"/>
          <w:b w:val="false"/>
          <w:bCs w:val="false"/>
          <w:color w:val="14210F"/>
          <w:sz w:val="21"/>
          <w:szCs w:val="21"/>
        </w:rPr>
        <w:t xml:space="preserve">A quorum does not weaken separation of duties — it means the proposer is excluded from a larger set of possible approvers, not that the requirement is softer.</w:t>
      </w:r>
    </w:p>
    <w:p>
      <w:pPr>
        <w:pStyle w:val="Heading2"/>
        <w:spacing w:after="140" w:before="340"/>
      </w:pPr>
      <w:r>
        <w:rPr>
          <w:rFonts w:ascii="Manrope" w:cs="Manrope" w:eastAsia="Manrope" w:hAnsi="Manrope"/>
          <w:b/>
          <w:bCs/>
          <w:color w:val="2E471F"/>
          <w:sz w:val="28"/>
          <w:szCs w:val="28"/>
        </w:rPr>
        <w:t xml:space="preserve">Separation of duties</w:t>
      </w:r>
    </w:p>
    <w:p>
      <w:pPr>
        <w:spacing w:after="160" w:line="300"/>
      </w:pPr>
      <w:r>
        <w:rPr>
          <w:rFonts w:ascii="Inter" w:cs="Inter" w:eastAsia="Inter" w:hAnsi="Inter"/>
          <w:b w:val="false"/>
          <w:bCs w:val="false"/>
          <w:color w:val="14210F"/>
          <w:sz w:val="21"/>
          <w:szCs w:val="21"/>
        </w:rPr>
        <w:t xml:space="preserve">The person or agent that proposes an action cannot be the one that approves it. This separation is enforced by the platform rather than by procedure, which means it holds even when the same individual holds both roles in the organisation chart. Exemptions are possible, but they are explicit, named and recorded — an exemption that nobody can see is not a control.</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tblGrid>
      <w:tr>
        <w:tc>
          <w:tcPr>
            <w:shd w:fill="F5F8F1" w:color="auto" w:val="clear"/>
            <w:tcMar>
              <w:top w:type="dxa" w:w="200"/>
              <w:left w:type="dxa" w:w="220"/>
              <w:bottom w:type="dxa" w:w="200"/>
              <w:right w:type="dxa" w:w="220"/>
            </w:tcMar>
          </w:tcPr>
          <w:p>
            <w:pPr>
              <w:spacing w:after="0" w:line="280"/>
            </w:pPr>
            <w:r>
              <w:rPr>
                <w:rFonts w:ascii="Manrope" w:cs="Manrope" w:eastAsia="Manrope" w:hAnsi="Manrope"/>
                <w:b w:val="false"/>
                <w:bCs w:val="false"/>
                <w:color w:val="2E471F"/>
                <w:sz w:val="21"/>
                <w:szCs w:val="21"/>
              </w:rPr>
              <w:t xml:space="preserve">Why this is the feature that unlocks adoption Organisations do not resist AI autonomy because they doubt the technology. They resist because the consequences of an error land on a named executive. A delegation model that mirrors existing human authority lets that executive grant autonomy incrementally, evidence it, and withdraw it — which is the only basis on which autonomy is ever actually granted.</w:t>
            </w:r>
          </w:p>
        </w:tc>
      </w:tr>
    </w:tbl>
    <w:p>
      <w:pPr>
        <w:spacing w:after="200"/>
      </w:pPr>
    </w:p>
    <w:p>
      <w:pPr>
        <w:pStyle w:val="Heading2"/>
        <w:spacing w:after="140" w:before="340"/>
      </w:pPr>
      <w:r>
        <w:rPr>
          <w:rFonts w:ascii="Manrope" w:cs="Manrope" w:eastAsia="Manrope" w:hAnsi="Manrope"/>
          <w:b/>
          <w:bCs/>
          <w:color w:val="2E471F"/>
          <w:sz w:val="28"/>
          <w:szCs w:val="28"/>
        </w:rPr>
        <w:t xml:space="preserve">Evidence, not assertion</w:t>
      </w:r>
    </w:p>
    <w:p>
      <w:pPr>
        <w:spacing w:after="160" w:line="300"/>
      </w:pPr>
      <w:r>
        <w:rPr>
          <w:rFonts w:ascii="Inter" w:cs="Inter" w:eastAsia="Inter" w:hAnsi="Inter"/>
          <w:b w:val="false"/>
          <w:bCs w:val="false"/>
          <w:color w:val="14210F"/>
          <w:sz w:val="21"/>
          <w:szCs w:val="21"/>
        </w:rPr>
        <w:t xml:space="preserve">Every agent action produces an audit record carrying the actor, the timestamp, the reasoning, the outcome and the authority under which it was taken. The trail is searchable and exportable, and it is designed to answer an auditor's question rather than an engineer's.</w:t>
      </w:r>
    </w:p>
    <w:p>
      <w:pPr>
        <w:pStyle w:val="Heading1"/>
        <w:spacing w:after="200" w:before="480"/>
      </w:pPr>
      <w:r>
        <w:rPr>
          <w:rFonts w:ascii="Manrope" w:cs="Manrope" w:eastAsia="Manrope" w:hAnsi="Manrope"/>
          <w:b/>
          <w:bCs/>
          <w:color w:val="2E471F"/>
          <w:sz w:val="40"/>
          <w:szCs w:val="40"/>
        </w:rPr>
        <w:t xml:space="preserve">12. One platform, many agents</w:t>
      </w:r>
    </w:p>
    <w:p>
      <w:pPr>
        <w:spacing w:after="220" w:line="320"/>
      </w:pPr>
      <w:r>
        <w:rPr>
          <w:rFonts w:ascii="Inter" w:cs="Inter" w:eastAsia="Inter" w:hAnsi="Inter"/>
          <w:b w:val="false"/>
          <w:bCs w:val="false"/>
          <w:color w:val="14210F"/>
          <w:sz w:val="24"/>
          <w:szCs w:val="24"/>
        </w:rPr>
        <w:t xml:space="preserve">MyntriqOS agents are instances of governed templates rather than separately built applications. Creating an agent configures a capability; it does not commission a project.</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Agent</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Function</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Receptionist</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Public-facing intake across channels — qualifies intent, routes or escalates to a human</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Sales and Marketing</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Qualifies leads, maintains pipeline records, drafts and sequences outreach</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IT Support</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The organisation's own helpdesk — triages requests, resolves common issues, escalates</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Human Resources</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Workforce insights and policy answers, grounded in the live HR system of record</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Personal Assistant</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Works to one named individual across their mail, calendar and messaging</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Myntriq Support</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Product how-to assistance for MyntriqOS itself, grounded in the product manual</w:t>
            </w:r>
          </w:p>
        </w:tc>
      </w:tr>
    </w:tbl>
    <w:p>
      <w:pPr>
        <w:spacing w:after="200"/>
      </w:pPr>
    </w:p>
    <w:p>
      <w:pPr>
        <w:spacing w:after="160" w:line="300"/>
      </w:pPr>
      <w:r>
        <w:rPr>
          <w:rFonts w:ascii="Inter" w:cs="Inter" w:eastAsia="Inter" w:hAnsi="Inter"/>
          <w:b w:val="false"/>
          <w:bCs w:val="false"/>
          <w:color w:val="14210F"/>
          <w:sz w:val="21"/>
          <w:szCs w:val="21"/>
        </w:rPr>
        <w:t xml:space="preserve">Executive reporting is delivered as a read-only dashboard assembled across functions rather than as a further agent — a reporting surface has no need to act, and giving it the ability to would add authority nobody asked for.</w:t>
      </w:r>
    </w:p>
    <w:p>
      <w:pPr>
        <w:pStyle w:val="Heading2"/>
        <w:spacing w:after="140" w:before="340"/>
      </w:pPr>
      <w:r>
        <w:rPr>
          <w:rFonts w:ascii="Manrope" w:cs="Manrope" w:eastAsia="Manrope" w:hAnsi="Manrope"/>
          <w:b/>
          <w:bCs/>
          <w:color w:val="2E471F"/>
          <w:sz w:val="28"/>
          <w:szCs w:val="28"/>
        </w:rPr>
        <w:t xml:space="preserve">Shared context is the point</w:t>
      </w:r>
    </w:p>
    <w:p>
      <w:pPr>
        <w:spacing w:after="160" w:line="300"/>
      </w:pPr>
      <w:r>
        <w:rPr>
          <w:rFonts w:ascii="Inter" w:cs="Inter" w:eastAsia="Inter" w:hAnsi="Inter"/>
          <w:b w:val="false"/>
          <w:bCs w:val="false"/>
          <w:color w:val="14210F"/>
          <w:sz w:val="21"/>
          <w:szCs w:val="21"/>
        </w:rPr>
        <w:t xml:space="preserve">Because agents operate on one intelligence layer rather than in separate products, context compounds. The support desk knows the account is in collections. The Sales agent knows the customer has an open escalation before it sends a renewal. Executive reporting covers both without an integration project, because there was never a separation to integrate across.</w:t>
      </w:r>
    </w:p>
    <w:p>
      <w:pPr>
        <w:pStyle w:val="Heading2"/>
        <w:spacing w:after="140" w:before="340"/>
      </w:pPr>
      <w:r>
        <w:rPr>
          <w:rFonts w:ascii="Manrope" w:cs="Manrope" w:eastAsia="Manrope" w:hAnsi="Manrope"/>
          <w:b/>
          <w:bCs/>
          <w:color w:val="2E471F"/>
          <w:sz w:val="28"/>
          <w:szCs w:val="28"/>
        </w:rPr>
        <w:t xml:space="preserve">How agents coordinate — through process, not conversation</w:t>
      </w:r>
    </w:p>
    <w:p>
      <w:pPr>
        <w:spacing w:after="160" w:line="300"/>
      </w:pPr>
      <w:r>
        <w:rPr>
          <w:rFonts w:ascii="Inter" w:cs="Inter" w:eastAsia="Inter" w:hAnsi="Inter"/>
          <w:b w:val="false"/>
          <w:bCs w:val="false"/>
          <w:color w:val="14210F"/>
          <w:sz w:val="21"/>
          <w:szCs w:val="21"/>
        </w:rPr>
        <w:t xml:space="preserve">Agents do coordinate, and the mechanism is worth understanding because it is the difference between a system that can be audited and one that cannot.</w:t>
      </w:r>
    </w:p>
    <w:p>
      <w:pPr>
        <w:spacing w:after="160" w:line="300"/>
      </w:pPr>
      <w:r>
        <w:rPr>
          <w:rFonts w:ascii="Inter" w:cs="Inter" w:eastAsia="Inter" w:hAnsi="Inter"/>
          <w:b/>
          <w:bCs/>
          <w:color w:val="14210F"/>
          <w:sz w:val="21"/>
          <w:szCs w:val="21"/>
        </w:rPr>
        <w:t xml:space="preserve">An agent can start a business process.</w:t>
      </w:r>
      <w:r>
        <w:rPr>
          <w:rFonts w:ascii="Inter" w:cs="Inter" w:eastAsia="Inter" w:hAnsi="Inter"/>
          <w:b w:val="false"/>
          <w:bCs w:val="false"/>
          <w:color w:val="14210F"/>
          <w:sz w:val="21"/>
          <w:szCs w:val="21"/>
        </w:rPr>
        <w:t xml:space="preserve"> A Personal Assistant handling an executive's request can initiate a process that other agents then carry out — a sales follow-up, a support escalation, an onboarding sequence. Initiation is a third governed surface alongside reads and writes, and it is gated by an explicit grant: an agent may only start processes it has been bound to, and </w:t>
      </w:r>
      <w:r>
        <w:rPr>
          <w:rFonts w:ascii="Inter" w:cs="Inter" w:eastAsia="Inter" w:hAnsi="Inter"/>
          <w:b/>
          <w:bCs/>
          <w:color w:val="14210F"/>
          <w:sz w:val="21"/>
          <w:szCs w:val="21"/>
        </w:rPr>
        <w:t xml:space="preserve">an agent can never grant itself that authority.</w:t>
      </w:r>
    </w:p>
    <w:p>
      <w:pPr>
        <w:spacing w:after="160" w:line="300"/>
      </w:pPr>
      <w:r>
        <w:rPr>
          <w:rFonts w:ascii="Inter" w:cs="Inter" w:eastAsia="Inter" w:hAnsi="Inter"/>
          <w:b w:val="false"/>
          <w:bCs w:val="false"/>
          <w:color w:val="14210F"/>
          <w:sz w:val="21"/>
          <w:szCs w:val="21"/>
        </w:rPr>
        <w:t xml:space="preserve">What does not happen is agents sending one another free-form instructions. There is no channel by which one agent tells another what to do. Coordination is mediated by a process definition — an ordered set of steps, each with a single owner and its own authority check — so the chain of work is a record rather than a conversation.</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Property of the initiation perimeter</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Why it is there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The organisation is resolved from the agent's own identity</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Never from anything the model produced. A model-supplied organisation or agent identifier has no effect</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Only the process to start is model-selectable</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And only from processes the agent holds an active binding for, in its own organisation</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Initiation is not an approval bypass</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Once started, every step still meets the same step-level authority gates it would have met if a human had started it</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The grant is not self-issuable</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An agent cannot bind itself to a process; an administrator does, deliberately</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Initiation is audited before the work begins</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So a downstream failure is still attributed to the agent that started it</w:t>
            </w:r>
          </w:p>
        </w:tc>
      </w:tr>
    </w:tbl>
    <w:p>
      <w:pPr>
        <w:spacing w:after="200"/>
      </w:pPr>
    </w:p>
    <w:p>
      <w:pPr>
        <w:spacing w:after="160" w:line="300"/>
      </w:pPr>
      <w:r>
        <w:rPr>
          <w:rFonts w:ascii="Inter" w:cs="Inter" w:eastAsia="Inter" w:hAnsi="Inter"/>
          <w:b w:val="false"/>
          <w:bCs w:val="false"/>
          <w:color w:val="14210F"/>
          <w:sz w:val="21"/>
          <w:szCs w:val="21"/>
        </w:rPr>
        <w:t xml:space="preserve">The distinction matters commercially. </w:t>
      </w:r>
      <w:r>
        <w:rPr>
          <w:rFonts w:ascii="Inter" w:cs="Inter" w:eastAsia="Inter" w:hAnsi="Inter"/>
          <w:b/>
          <w:bCs/>
          <w:color w:val="14210F"/>
          <w:sz w:val="21"/>
          <w:szCs w:val="21"/>
        </w:rPr>
        <w:t xml:space="preserve">A step whose behaviour emerges from several agents conferring is a step nobody can audit</w:t>
      </w:r>
      <w:r>
        <w:rPr>
          <w:rFonts w:ascii="Inter" w:cs="Inter" w:eastAsia="Inter" w:hAnsi="Inter"/>
          <w:b w:val="false"/>
          <w:bCs w:val="false"/>
          <w:color w:val="14210F"/>
          <w:sz w:val="21"/>
          <w:szCs w:val="21"/>
        </w:rPr>
        <w:t xml:space="preserve"> — and the moment an approval trail cannot explain why work happened, it stops being worth having. Routing coordination through a process definition keeps every handoff visible, attributable and gated, while still letting one agent set another's work in motion.</w:t>
      </w:r>
    </w:p>
    <w:p>
      <w:pPr>
        <w:pStyle w:val="Heading2"/>
        <w:spacing w:after="140" w:before="340"/>
      </w:pPr>
      <w:r>
        <w:rPr>
          <w:rFonts w:ascii="Manrope" w:cs="Manrope" w:eastAsia="Manrope" w:hAnsi="Manrope"/>
          <w:b/>
          <w:bCs/>
          <w:color w:val="2E471F"/>
          <w:sz w:val="28"/>
          <w:szCs w:val="28"/>
        </w:rPr>
        <w:t xml:space="preserve">Human handoff as a first-class path</w:t>
      </w:r>
    </w:p>
    <w:p>
      <w:pPr>
        <w:spacing w:after="160" w:line="300"/>
      </w:pPr>
      <w:r>
        <w:rPr>
          <w:rFonts w:ascii="Inter" w:cs="Inter" w:eastAsia="Inter" w:hAnsi="Inter"/>
          <w:b w:val="false"/>
          <w:bCs w:val="false"/>
          <w:color w:val="14210F"/>
          <w:sz w:val="21"/>
          <w:szCs w:val="21"/>
        </w:rPr>
        <w:t xml:space="preserve">An agent that cannot recognise its own limits is a liability. Handoff to a named human — with the conversation, the reasoning and the collected context intact — is a designed path rather than a failure state, and the point of handoff is recorded like any other action.</w:t>
      </w:r>
    </w:p>
    <w:p>
      <w:pPr>
        <w:pStyle w:val="Heading1"/>
        <w:spacing w:after="200" w:before="480"/>
      </w:pPr>
      <w:r>
        <w:rPr>
          <w:rFonts w:ascii="Manrope" w:cs="Manrope" w:eastAsia="Manrope" w:hAnsi="Manrope"/>
          <w:b/>
          <w:bCs/>
          <w:color w:val="2E471F"/>
          <w:sz w:val="40"/>
          <w:szCs w:val="40"/>
        </w:rPr>
        <w:t xml:space="preserve">13. Industry-grade process, expressed as skills</w:t>
      </w:r>
    </w:p>
    <w:p>
      <w:pPr>
        <w:spacing w:after="220" w:line="320"/>
      </w:pPr>
      <w:r>
        <w:rPr>
          <w:rFonts w:ascii="Inter" w:cs="Inter" w:eastAsia="Inter" w:hAnsi="Inter"/>
          <w:b w:val="false"/>
          <w:bCs w:val="false"/>
          <w:color w:val="14210F"/>
          <w:sz w:val="24"/>
          <w:szCs w:val="24"/>
        </w:rPr>
        <w:t xml:space="preserve">The difference between a demonstration and a deployment is process. A model can draft a quotation; an enterprise needs the quotation to follow its approval thresholds, its discount policy, its margin floors and its record-keeping obligations, every time.</w:t>
      </w:r>
    </w:p>
    <w:p>
      <w:pPr>
        <w:spacing w:after="160" w:line="300"/>
      </w:pPr>
      <w:r>
        <w:rPr>
          <w:rFonts w:ascii="Inter" w:cs="Inter" w:eastAsia="Inter" w:hAnsi="Inter"/>
          <w:b w:val="false"/>
          <w:bCs w:val="false"/>
          <w:color w:val="14210F"/>
          <w:sz w:val="21"/>
          <w:szCs w:val="21"/>
        </w:rPr>
        <w:t xml:space="preserve">MyntriqFlow, the platform's process orchestration layer and skills catalogue, expresses business capability as skills — versioned, reviewable definitions of how a piece of work is done. A skill declares what business objects it touches, what authority it requires, what inputs it needs and what evidence it must leave behind.</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Property of a skill</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Why it matters commercially</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Versioned</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 change to how work is done is a reviewable event with an author and a date</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Composable</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Processes are assembled from skills rather than rewritten per customer</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Authority-aware</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 skill cannot be invoked beyond the authority of the agent invoking it</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Business-object bound</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Skills operate on defined entities — a quotation, a case, a candidate — not free text</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Portable</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Industry process templates are deployed to a new customer as configuration</w:t>
            </w:r>
          </w:p>
        </w:tc>
      </w:tr>
    </w:tbl>
    <w:p>
      <w:pPr>
        <w:spacing w:after="200"/>
      </w:pPr>
    </w:p>
    <w:p>
      <w:pPr>
        <w:spacing w:after="160" w:line="300"/>
      </w:pPr>
      <w:r>
        <w:rPr>
          <w:rFonts w:ascii="Inter" w:cs="Inter" w:eastAsia="Inter" w:hAnsi="Inter"/>
          <w:b w:val="false"/>
          <w:bCs w:val="false"/>
          <w:color w:val="14210F"/>
          <w:sz w:val="21"/>
          <w:szCs w:val="21"/>
        </w:rPr>
        <w:t xml:space="preserve">The commercial consequence is repeatability. An implementation partner encoding a sector's process once can deploy it across many customers without re-implementation, and improvements made in one deployment become available to the rest under version control rather than by rumour.</w:t>
      </w:r>
    </w:p>
    <w:p>
      <w:pPr>
        <w:pStyle w:val="Heading2"/>
        <w:spacing w:after="140" w:before="340"/>
      </w:pPr>
      <w:r>
        <w:rPr>
          <w:rFonts w:ascii="Manrope" w:cs="Manrope" w:eastAsia="Manrope" w:hAnsi="Manrope"/>
          <w:b/>
          <w:bCs/>
          <w:color w:val="2E471F"/>
          <w:sz w:val="28"/>
          <w:szCs w:val="28"/>
        </w:rPr>
        <w:t xml:space="preserve">Why the addressable set of use cases is not a list</w:t>
      </w:r>
    </w:p>
    <w:p>
      <w:pPr>
        <w:spacing w:after="160" w:line="300"/>
      </w:pPr>
      <w:r>
        <w:rPr>
          <w:rFonts w:ascii="Inter" w:cs="Inter" w:eastAsia="Inter" w:hAnsi="Inter"/>
          <w:b w:val="false"/>
          <w:bCs w:val="false"/>
          <w:color w:val="14210F"/>
          <w:sz w:val="21"/>
          <w:szCs w:val="21"/>
        </w:rPr>
        <w:t xml:space="preserve">This is the property that most distinguishes MyntriqOS commercially, and it is easy to miss. </w:t>
      </w:r>
      <w:r>
        <w:rPr>
          <w:rFonts w:ascii="Inter" w:cs="Inter" w:eastAsia="Inter" w:hAnsi="Inter"/>
          <w:b/>
          <w:bCs/>
          <w:color w:val="14210F"/>
          <w:sz w:val="21"/>
          <w:szCs w:val="21"/>
        </w:rPr>
        <w:t xml:space="preserve">Capability is composed, not enumerated.</w:t>
      </w:r>
    </w:p>
    <w:p>
      <w:pPr>
        <w:spacing w:after="160" w:line="300"/>
      </w:pPr>
      <w:r>
        <w:rPr>
          <w:rFonts w:ascii="Inter" w:cs="Inter" w:eastAsia="Inter" w:hAnsi="Inter"/>
          <w:b w:val="false"/>
          <w:bCs w:val="false"/>
          <w:color w:val="14210F"/>
          <w:sz w:val="21"/>
          <w:szCs w:val="21"/>
        </w:rPr>
        <w:t xml:space="preserve">A conventional platform ships a fixed set of features. What it does is what was built, and anything else is a roadmap request — you wait, or you pay for development. The set is a list, and somebody else controls its length.</w:t>
      </w:r>
    </w:p>
    <w:p>
      <w:pPr>
        <w:spacing w:after="160" w:line="300"/>
      </w:pPr>
      <w:r>
        <w:rPr>
          <w:rFonts w:ascii="Inter" w:cs="Inter" w:eastAsia="Inter" w:hAnsi="Inter"/>
          <w:b w:val="false"/>
          <w:bCs w:val="false"/>
          <w:color w:val="14210F"/>
          <w:sz w:val="21"/>
          <w:szCs w:val="21"/>
        </w:rPr>
        <w:t xml:space="preserve">MyntriqFlow is a catalogue instead. Thirty-seven published skills operate over twenty-two defined business objects — a quotation, a case, a candidate, an invoice — and each skill declares what it consumes and what it produces. A process is assembled from those skills. The number of expressible use cases is therefore combinatorial rather than fixed: adding one skill does not add one capability, it adds every combination that skill participates in.</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A conventional platform</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MyntriqOS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Capability is a feature list</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Capability is a vocabulary that composes</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 new use case is a roadmap request</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 new use case is configuration</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Coverage grows when the vendor builds</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Coverage grows when you compose</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Sector knowledge lives in an implementation</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Sector knowledge is a versioned, portable asset</w:t>
            </w:r>
          </w:p>
        </w:tc>
      </w:tr>
    </w:tbl>
    <w:p>
      <w:pPr>
        <w:spacing w:after="200"/>
      </w:pPr>
    </w:p>
    <w:p>
      <w:pPr>
        <w:pStyle w:val="Heading2"/>
        <w:spacing w:after="140" w:before="340"/>
      </w:pPr>
      <w:r>
        <w:rPr>
          <w:rFonts w:ascii="Manrope" w:cs="Manrope" w:eastAsia="Manrope" w:hAnsi="Manrope"/>
          <w:b/>
          <w:bCs/>
          <w:color w:val="2E471F"/>
          <w:sz w:val="28"/>
          <w:szCs w:val="28"/>
        </w:rPr>
        <w:t xml:space="preserve">Process shape, not just process content</w:t>
      </w:r>
    </w:p>
    <w:p>
      <w:pPr>
        <w:spacing w:after="160" w:line="300"/>
      </w:pPr>
      <w:r>
        <w:rPr>
          <w:rFonts w:ascii="Inter" w:cs="Inter" w:eastAsia="Inter" w:hAnsi="Inter"/>
          <w:b w:val="false"/>
          <w:bCs w:val="false"/>
          <w:color w:val="14210F"/>
          <w:sz w:val="21"/>
          <w:szCs w:val="21"/>
        </w:rPr>
        <w:t xml:space="preserve">Real business processes are not queues. Work happens in parallel, approvals are held by groups rather than individuals, and a step often waits on several things at once. A process engine that can only express one step after another forces the organisation to flatten its actual operating model into a line — and what is lost in the flattening is precisely the control the organisation cared about.</w:t>
      </w:r>
    </w:p>
    <w:p>
      <w:pPr>
        <w:spacing w:after="160" w:line="300"/>
      </w:pPr>
      <w:r>
        <w:rPr>
          <w:rFonts w:ascii="Inter" w:cs="Inter" w:eastAsia="Inter" w:hAnsi="Inter"/>
          <w:b w:val="false"/>
          <w:bCs w:val="false"/>
          <w:color w:val="14210F"/>
          <w:sz w:val="21"/>
          <w:szCs w:val="21"/>
        </w:rPr>
        <w:t xml:space="preserve">The MyntriqFlow process model is therefore not linear. It carries:</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Construct</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What it expresses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Conditional branching</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 step runs, or is skipped and recorded as skipped, on a declarative predicate evaluated before the authority gate</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Parallel branches with an explicit join</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Independent work proceeds at once and the process continues only when the join condition is met</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k-of-n quorum approval</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An action releases when any k of n named authorities agree — a credit committee, not a signature queue</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Ordered escalation chains</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Where sequence genuinely matters: approver one, then two, then N, each a named authority rather than a rank</w:t>
            </w:r>
          </w:p>
        </w:tc>
      </w:tr>
    </w:tbl>
    <w:p>
      <w:pPr>
        <w:spacing w:after="200"/>
      </w:pPr>
    </w:p>
    <w:p>
      <w:pPr>
        <w:spacing w:after="160" w:line="300"/>
      </w:pPr>
      <w:r>
        <w:rPr>
          <w:rFonts w:ascii="Inter" w:cs="Inter" w:eastAsia="Inter" w:hAnsi="Inter"/>
          <w:b w:val="false"/>
          <w:bCs w:val="false"/>
          <w:color w:val="14210F"/>
          <w:sz w:val="21"/>
          <w:szCs w:val="21"/>
        </w:rPr>
        <w:t xml:space="preserve">The distinction between quorum and sequence is the one worth understanding. </w:t>
      </w:r>
      <w:r>
        <w:rPr>
          <w:rFonts w:ascii="Inter" w:cs="Inter" w:eastAsia="Inter" w:hAnsi="Inter"/>
          <w:b/>
          <w:bCs/>
          <w:color w:val="14210F"/>
          <w:sz w:val="21"/>
          <w:szCs w:val="21"/>
        </w:rPr>
        <w:t xml:space="preserve">An ordered chain says who must sign and in what order. A quorum says how many of a group must agree, and does not care which.</w:t>
      </w:r>
      <w:r>
        <w:rPr>
          <w:rFonts w:ascii="Inter" w:cs="Inter" w:eastAsia="Inter" w:hAnsi="Inter"/>
          <w:b w:val="false"/>
          <w:bCs w:val="false"/>
          <w:color w:val="14210F"/>
          <w:sz w:val="21"/>
          <w:szCs w:val="21"/>
        </w:rPr>
        <w:t xml:space="preserve"> Most organisations use both — a purchase order escalates in sequence, while a credit decision needs three of five directors and would stall if it required a specific three. A process engine that offers only one of these forces the business to misdescribe itself.</w:t>
      </w:r>
    </w:p>
    <w:p>
      <w:pPr>
        <w:spacing w:after="160" w:line="300"/>
      </w:pPr>
      <w:r>
        <w:rPr>
          <w:rFonts w:ascii="Inter" w:cs="Inter" w:eastAsia="Inter" w:hAnsi="Inter"/>
          <w:b w:val="false"/>
          <w:bCs w:val="false"/>
          <w:color w:val="14210F"/>
          <w:sz w:val="21"/>
          <w:szCs w:val="21"/>
        </w:rPr>
        <w:t xml:space="preserve">Every construct sits behind the same delegation of authority. A parallel branch does not bypass an approval; it means two approvals are outstanding at once. A quorum does not weaken separation of duties; it means the maker is excluded from a larger set of possible verifiers. The control model does not thin out as the process shape gets richer — which is the usual failure of workflow engines that gain expressiveness after the fact.</w:t>
      </w:r>
    </w:p>
    <w:p>
      <w:pPr>
        <w:pStyle w:val="Heading1"/>
        <w:spacing w:after="200" w:before="480"/>
      </w:pPr>
      <w:r>
        <w:rPr>
          <w:rFonts w:ascii="Manrope" w:cs="Manrope" w:eastAsia="Manrope" w:hAnsi="Manrope"/>
          <w:b/>
          <w:bCs/>
          <w:color w:val="2E471F"/>
          <w:sz w:val="40"/>
          <w:szCs w:val="40"/>
        </w:rPr>
        <w:t xml:space="preserve">14. Multi-model and multi-modal intelligence</w:t>
      </w:r>
    </w:p>
    <w:p>
      <w:pPr>
        <w:pStyle w:val="Heading2"/>
        <w:spacing w:after="140" w:before="340"/>
      </w:pPr>
      <w:r>
        <w:rPr>
          <w:rFonts w:ascii="Manrope" w:cs="Manrope" w:eastAsia="Manrope" w:hAnsi="Manrope"/>
          <w:b/>
          <w:bCs/>
          <w:color w:val="2E471F"/>
          <w:sz w:val="28"/>
          <w:szCs w:val="28"/>
        </w:rPr>
        <w:t xml:space="preserve">Model routing and governance</w:t>
      </w:r>
    </w:p>
    <w:p>
      <w:pPr>
        <w:spacing w:after="160" w:line="300"/>
      </w:pPr>
      <w:r>
        <w:rPr>
          <w:rFonts w:ascii="Inter" w:cs="Inter" w:eastAsia="Inter" w:hAnsi="Inter"/>
          <w:b w:val="false"/>
          <w:bCs w:val="false"/>
          <w:color w:val="14210F"/>
          <w:sz w:val="21"/>
          <w:szCs w:val="21"/>
        </w:rPr>
        <w:t xml:space="preserve">All reasoning is routed through a single model gateway. The organisation controls which models are permitted, and the platform records what was spent, by which agent, on whose behalf.</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Capability</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Control it provides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Per-organisation model permissions</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Only approved models are reachable, enforced centrally</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Per-agent model assignment</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Expensive reasoning is reserved for work that needs it</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Usage and cost metering</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Token consumption and cost by agent, by user, by period</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Provider substitution</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 model may be replaced without changing agent logic</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Failure isolation</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 provider outage degrades a capability rather than the platform</w:t>
            </w:r>
          </w:p>
        </w:tc>
      </w:tr>
    </w:tbl>
    <w:p>
      <w:pPr>
        <w:spacing w:after="200"/>
      </w:pPr>
    </w:p>
    <w:p>
      <w:pPr>
        <w:pStyle w:val="Heading2"/>
        <w:spacing w:after="140" w:before="340"/>
      </w:pPr>
      <w:r>
        <w:rPr>
          <w:rFonts w:ascii="Manrope" w:cs="Manrope" w:eastAsia="Manrope" w:hAnsi="Manrope"/>
          <w:b/>
          <w:bCs/>
          <w:color w:val="2E471F"/>
          <w:sz w:val="28"/>
          <w:szCs w:val="28"/>
        </w:rPr>
        <w:t xml:space="preserve">Beyond text</w:t>
      </w:r>
    </w:p>
    <w:p>
      <w:pPr>
        <w:spacing w:after="160" w:line="300"/>
      </w:pPr>
      <w:r>
        <w:rPr>
          <w:rFonts w:ascii="Inter" w:cs="Inter" w:eastAsia="Inter" w:hAnsi="Inter"/>
          <w:b w:val="false"/>
          <w:bCs w:val="false"/>
          <w:color w:val="14210F"/>
          <w:sz w:val="21"/>
          <w:szCs w:val="21"/>
        </w:rPr>
        <w:t xml:space="preserve">Enterprise information is not conversational. It arrives as scanned contracts, purchase orders, identity documents, photographs of damaged goods and voice recordings. Three input modes are handled, and all three route through the same model gateway rather than adding a separate vendor relationship for each:</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Mode</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Handling</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Images</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Attachments are described by a vision-capable model and the extracted text is attached to the record</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Audio</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Recordings are transcribed through the gateway, producing searchable minutes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Documents</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 three-stage pipeline — parse the text layer, apply optical character recognition only to pages that need it, then embed</w:t>
            </w:r>
          </w:p>
        </w:tc>
      </w:tr>
    </w:tbl>
    <w:p>
      <w:pPr>
        <w:spacing w:after="200"/>
      </w:pPr>
    </w:p>
    <w:p>
      <w:pPr>
        <w:spacing w:after="160" w:line="300"/>
      </w:pPr>
      <w:r>
        <w:rPr>
          <w:rFonts w:ascii="Inter" w:cs="Inter" w:eastAsia="Inter" w:hAnsi="Inter"/>
          <w:b w:val="false"/>
          <w:bCs w:val="false"/>
          <w:color w:val="14210F"/>
          <w:sz w:val="21"/>
          <w:szCs w:val="21"/>
        </w:rPr>
        <w:t xml:space="preserve">The document pipeline is deliberately built to make partial failure visible. Every page is accounted for in a coverage ledger as read from the text layer, read by optical character recognition, or unreadable with a stated reason. A document that was half-processed cannot present as fully ingested, which is the failure mode that quietly degrades a knowledge base over time.</w:t>
      </w:r>
    </w:p>
    <w:p>
      <w:pPr>
        <w:spacing w:after="160" w:line="300"/>
      </w:pPr>
      <w:r>
        <w:rPr>
          <w:rFonts w:ascii="Inter" w:cs="Inter" w:eastAsia="Inter" w:hAnsi="Inter"/>
          <w:b w:val="false"/>
          <w:bCs w:val="false"/>
          <w:color w:val="14210F"/>
          <w:sz w:val="21"/>
          <w:szCs w:val="21"/>
        </w:rPr>
        <w:t xml:space="preserve">Retrieved material carries page-level provenance, so an answer can cite the page it came from. That is not a convenience. An agent that asserts a contractual term without being able to show where it read it cannot be relied upon in a commercial dispute.</w:t>
      </w:r>
    </w:p>
    <w:p>
      <w:pPr>
        <w:pStyle w:val="Heading1"/>
        <w:spacing w:after="200" w:before="480"/>
      </w:pPr>
      <w:r>
        <w:rPr>
          <w:rFonts w:ascii="Manrope" w:cs="Manrope" w:eastAsia="Manrope" w:hAnsi="Manrope"/>
          <w:b/>
          <w:bCs/>
          <w:color w:val="2E471F"/>
          <w:sz w:val="40"/>
          <w:szCs w:val="40"/>
        </w:rPr>
        <w:t xml:space="preserve">15. Data protection</w:t>
      </w:r>
    </w:p>
    <w:p>
      <w:pPr>
        <w:spacing w:after="220" w:line="320"/>
      </w:pPr>
      <w:r>
        <w:rPr>
          <w:rFonts w:ascii="Inter" w:cs="Inter" w:eastAsia="Inter" w:hAnsi="Inter"/>
          <w:b w:val="false"/>
          <w:bCs w:val="false"/>
          <w:color w:val="14210F"/>
          <w:sz w:val="24"/>
          <w:szCs w:val="24"/>
        </w:rPr>
        <w:t xml:space="preserve">Data protection in an agentic system cannot be a perimeter product bolted to the edge, because the agent is inside the perimeter by design. Protection has to be a property of how information moves.</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Control</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Mechanism</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Classification taxonomy</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Five levels — public, customer-confidential, internal, restricted, highly-restricted — recorded on documents, executive memory and meeting minutes</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Eligibility gating</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Material may be stored and searchable by staff yet withheld from agents entirely</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Egress control</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Every outbound action is a named intent, gated and approved like any other</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Credential boundary</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Secret tables carry no access policy at all — unreachable from any user session</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Immutable audit</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Append-only history across roughly 148 typed action types; no update or delete path</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Untrusted-context boundary</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Retrieved and inbound content is framed as data, never as instruction</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Retention fields</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Removal dates recorded against documents and executive memory</w:t>
            </w:r>
          </w:p>
        </w:tc>
      </w:tr>
    </w:tbl>
    <w:p>
      <w:pPr>
        <w:spacing w:after="200"/>
      </w:pP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tblGrid>
      <w:tr>
        <w:tc>
          <w:tcPr>
            <w:shd w:fill="F5F8F1" w:color="auto" w:val="clear"/>
            <w:tcMar>
              <w:top w:type="dxa" w:w="200"/>
              <w:left w:type="dxa" w:w="220"/>
              <w:bottom w:type="dxa" w:w="200"/>
              <w:right w:type="dxa" w:w="220"/>
            </w:tcMar>
          </w:tcPr>
          <w:p>
            <w:pPr>
              <w:spacing w:after="0" w:line="280"/>
            </w:pPr>
            <w:r>
              <w:rPr>
                <w:rFonts w:ascii="Manrope" w:cs="Manrope" w:eastAsia="Manrope" w:hAnsi="Manrope"/>
                <w:b w:val="false"/>
                <w:bCs w:val="false"/>
                <w:color w:val="2E471F"/>
                <w:sz w:val="21"/>
                <w:szCs w:val="21"/>
              </w:rPr>
              <w:t xml:space="preserve">Stated precisely, because a security reviewer will test it These are access and authority controls, not content inspection. MyntriqOS does not currently perform content-level data-loss-prevention scanning, redaction or automated personal-data detection, and retention dates are recorded rather than swept automatically. The protection model works by constraining what an agent can reach and what it can do — not by inspecting text as it passes. Both are legitimate; only one of them is claimed here.</w:t>
            </w:r>
          </w:p>
        </w:tc>
      </w:tr>
    </w:tbl>
    <w:p>
      <w:pPr>
        <w:spacing w:after="200"/>
      </w:pPr>
    </w:p>
    <w:p>
      <w:pPr>
        <w:spacing w:after="160" w:line="300"/>
      </w:pPr>
      <w:r>
        <w:rPr>
          <w:rFonts w:ascii="Inter" w:cs="Inter" w:eastAsia="Inter" w:hAnsi="Inter"/>
          <w:b w:val="false"/>
          <w:bCs w:val="false"/>
          <w:color w:val="14210F"/>
          <w:sz w:val="21"/>
          <w:szCs w:val="21"/>
        </w:rPr>
        <w:t xml:space="preserve">The design principle throughout is that a failure should be loud. A control that quietly does nothing when it cannot operate is worse than no control, because it produces confidence without protection. MyntriqOS is engineered so that an operation which cannot be performed safely is refused and recorded, rather than skipped silently — and the same discipline is applied to describing the platform.</w:t>
      </w:r>
    </w:p>
    <w:p>
      <w:pPr>
        <w:pStyle w:val="Heading1"/>
        <w:spacing w:after="200" w:before="480"/>
      </w:pPr>
      <w:r>
        <w:rPr>
          <w:rFonts w:ascii="Manrope" w:cs="Manrope" w:eastAsia="Manrope" w:hAnsi="Manrope"/>
          <w:b/>
          <w:bCs/>
          <w:color w:val="2E471F"/>
          <w:sz w:val="40"/>
          <w:szCs w:val="40"/>
        </w:rPr>
        <w:t xml:space="preserve">16. The trust programme: security, privacy and model governance</w:t>
      </w:r>
    </w:p>
    <w:p>
      <w:pPr>
        <w:spacing w:after="220" w:line="320"/>
      </w:pPr>
      <w:r>
        <w:rPr>
          <w:rFonts w:ascii="Inter" w:cs="Inter" w:eastAsia="Inter" w:hAnsi="Inter"/>
          <w:b w:val="false"/>
          <w:bCs w:val="false"/>
          <w:color w:val="14210F"/>
          <w:sz w:val="24"/>
          <w:szCs w:val="24"/>
        </w:rPr>
        <w:t xml:space="preserve">The preceding sections describe how the platform protects data technically. This one describes the programme that stands behind those controls — the obligations Myntriq accepts, the documents that carry them, and how the programme is run. It is deliberately a narrative. Following the model of the public trust pages operated by the major AI laboratories, this whitepaper describes the shape of the programme and names its documents; it does not reproduce them. The full text of every document named here is published, versioned and change-logged in the Myntriq Trust Centre at myntriq.io/trust, and where this summary and a published document ever differ, the published document is the authoritative text.</w:t>
      </w:r>
    </w:p>
    <w:p>
      <w:pPr>
        <w:pStyle w:val="Heading2"/>
        <w:spacing w:after="140" w:before="340"/>
      </w:pPr>
      <w:r>
        <w:rPr>
          <w:rFonts w:ascii="Manrope" w:cs="Manrope" w:eastAsia="Manrope" w:hAnsi="Manrope"/>
          <w:b/>
          <w:bCs/>
          <w:color w:val="2E471F"/>
          <w:sz w:val="28"/>
          <w:szCs w:val="28"/>
        </w:rPr>
        <w:t xml:space="preserve">The programme is published, versioned and owned</w:t>
      </w:r>
    </w:p>
    <w:p>
      <w:pPr>
        <w:spacing w:after="160" w:line="300"/>
      </w:pPr>
      <w:r>
        <w:rPr>
          <w:rFonts w:ascii="Inter" w:cs="Inter" w:eastAsia="Inter" w:hAnsi="Inter"/>
          <w:b w:val="false"/>
          <w:bCs w:val="false"/>
          <w:color w:val="14210F"/>
          <w:sz w:val="21"/>
          <w:szCs w:val="21"/>
        </w:rPr>
        <w:t xml:space="preserve">Security, privacy and model governance at Myntriq are run as one published programme rather than as answers assembled at procurement time. Every trust document is maintained under a versioning standard: each carries an owner, an effective date, a review cycle and a change log, so a reviewer can always establish which text is current and what changed between versions. A procurement review does not begin by requesting material that has yet to be written — the core documents exist, and they are the same documents the Trust Centre serves:</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Document</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What it establishes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Data Processing Addendum</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The processor obligations Myntriq accepts contractually</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Privacy Policy</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What personal data is collected, on what basis, and the rights available over it</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Data Retention Policy</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How long each category of data is held and how it is destroyed</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Sub-processor List</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Every third party in the chain — what it processes, where, and under which certifications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Security Overview</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Infrastructure, tenancy, authentication and encryption, written for a security reviewer</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AI Usage Policy</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What the AI layer may and may not be used for</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Model Governance Policy</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How models are selected, changed and governed</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Responsible AI Statement</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The position on fairness, human oversight and stated limitations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Terms of Service</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The commercial and liability frame</w:t>
            </w:r>
          </w:p>
        </w:tc>
      </w:tr>
    </w:tbl>
    <w:p>
      <w:pPr>
        <w:spacing w:after="200"/>
      </w:pPr>
    </w:p>
    <w:p>
      <w:pPr>
        <w:pStyle w:val="Heading2"/>
        <w:spacing w:after="140" w:before="340"/>
      </w:pPr>
      <w:r>
        <w:rPr>
          <w:rFonts w:ascii="Manrope" w:cs="Manrope" w:eastAsia="Manrope" w:hAnsi="Manrope"/>
          <w:b/>
          <w:bCs/>
          <w:color w:val="2E471F"/>
          <w:sz w:val="28"/>
          <w:szCs w:val="28"/>
        </w:rPr>
        <w:t xml:space="preserve">The commitments, stated as principles</w:t>
      </w:r>
    </w:p>
    <w:p>
      <w:pPr>
        <w:spacing w:after="160" w:line="300"/>
      </w:pPr>
      <w:r>
        <w:rPr>
          <w:rFonts w:ascii="Inter" w:cs="Inter" w:eastAsia="Inter" w:hAnsi="Inter"/>
          <w:b/>
          <w:bCs/>
          <w:color w:val="14210F"/>
          <w:sz w:val="21"/>
          <w:szCs w:val="21"/>
        </w:rPr>
        <w:t xml:space="preserve">Controller and processor. </w:t>
      </w:r>
      <w:r>
        <w:rPr>
          <w:rFonts w:ascii="Inter" w:cs="Inter" w:eastAsia="Inter" w:hAnsi="Inter"/>
          <w:b w:val="false"/>
          <w:bCs w:val="false"/>
          <w:color w:val="14210F"/>
          <w:sz w:val="21"/>
          <w:szCs w:val="21"/>
        </w:rPr>
        <w:t xml:space="preserve">The customer organisation is the data controller: it determines what personal data is processed and for what purpose, and the data remains its own. Myntriq Pte Ltd (UEN 202537571M), Singapore, acts as data processor, processing personal data on the customer's documented instructions and for no other purpose. The Data Processing Addendum reflects the obligations of a processor under Singapore's Personal Data Protection Act 2012, and under the EU General Data Protection Regulation where it applies. The distinction is commercial as well as legal: a platform positioning itself as a controller of your data has taken a different relationship to it than one that has not.</w:t>
      </w:r>
    </w:p>
    <w:p>
      <w:pPr>
        <w:spacing w:after="160" w:line="300"/>
      </w:pPr>
      <w:r>
        <w:rPr>
          <w:rFonts w:ascii="Inter" w:cs="Inter" w:eastAsia="Inter" w:hAnsi="Inter"/>
          <w:b/>
          <w:bCs/>
          <w:color w:val="14210F"/>
          <w:sz w:val="21"/>
          <w:szCs w:val="21"/>
        </w:rPr>
        <w:t xml:space="preserve">Retention in periods, not principles. </w:t>
      </w:r>
      <w:r>
        <w:rPr>
          <w:rFonts w:ascii="Inter" w:cs="Inter" w:eastAsia="Inter" w:hAnsi="Inter"/>
          <w:b w:val="false"/>
          <w:bCs w:val="false"/>
          <w:color w:val="14210F"/>
          <w:sz w:val="21"/>
          <w:szCs w:val="21"/>
        </w:rPr>
        <w:t xml:space="preserve">A policy expressed as "we keep data no longer than necessary" commits to nothing and cannot be falsified. Myntriq's commitment is that retention is stated as concrete periods per data category, with a defined deletion window on termination — periods and a window that can be checked, held in the Data Retention Policy rather than paraphrased here.</w:t>
      </w:r>
    </w:p>
    <w:p>
      <w:pPr>
        <w:spacing w:after="160" w:line="300"/>
      </w:pPr>
      <w:r>
        <w:rPr>
          <w:rFonts w:ascii="Inter" w:cs="Inter" w:eastAsia="Inter" w:hAnsi="Inter"/>
          <w:b/>
          <w:bCs/>
          <w:color w:val="14210F"/>
          <w:sz w:val="21"/>
          <w:szCs w:val="21"/>
        </w:rPr>
        <w:t xml:space="preserve">Sub-processors named, not summarised. </w:t>
      </w:r>
      <w:r>
        <w:rPr>
          <w:rFonts w:ascii="Inter" w:cs="Inter" w:eastAsia="Inter" w:hAnsi="Inter"/>
          <w:b w:val="false"/>
          <w:bCs w:val="false"/>
          <w:color w:val="14210F"/>
          <w:sz w:val="21"/>
          <w:szCs w:val="21"/>
        </w:rPr>
        <w:t xml:space="preserve">A list that says "cloud providers and AI vendors" is not a disclosure. Each party is named individually with what it processes, where it processes it, and the certifications it holds — across infrastructure, the AI model providers and message delivery. Prospective additions are listed separately as planned, rather than folded in silently.</w:t>
      </w:r>
    </w:p>
    <w:p>
      <w:pPr>
        <w:spacing w:after="160" w:line="300"/>
      </w:pPr>
      <w:r>
        <w:rPr>
          <w:rFonts w:ascii="Inter" w:cs="Inter" w:eastAsia="Inter" w:hAnsi="Inter"/>
          <w:b w:val="false"/>
          <w:bCs w:val="false"/>
          <w:color w:val="14210F"/>
          <w:sz w:val="21"/>
          <w:szCs w:val="21"/>
        </w:rPr>
        <w:t xml:space="preserve">This matters for a reason specific to AI platforms. The model providers are sub-processors, and an organisation that has not been told which ones are in the chain cannot assess where its prompts are processed. Naming them is what makes the sovereignty position in section 6 verifiable rather than merely asserted.</w:t>
      </w:r>
    </w:p>
    <w:p>
      <w:pPr>
        <w:spacing w:after="160" w:line="300"/>
      </w:pPr>
      <w:r>
        <w:rPr>
          <w:rFonts w:ascii="Inter" w:cs="Inter" w:eastAsia="Inter" w:hAnsi="Inter"/>
          <w:b/>
          <w:bCs/>
          <w:color w:val="14210F"/>
          <w:sz w:val="21"/>
          <w:szCs w:val="21"/>
        </w:rPr>
        <w:t xml:space="preserve">Model governance as a published discipline. </w:t>
      </w:r>
      <w:r>
        <w:rPr>
          <w:rFonts w:ascii="Inter" w:cs="Inter" w:eastAsia="Inter" w:hAnsi="Inter"/>
          <w:b w:val="false"/>
          <w:bCs w:val="false"/>
          <w:color w:val="14210F"/>
          <w:sz w:val="21"/>
          <w:szCs w:val="21"/>
        </w:rPr>
        <w:t xml:space="preserve">How models are selected, evaluated, routed and replaced is governed by the Model Governance Policy, which records the current model slate and each provider's data-handling posture; what the AI layer may and may not be used for is stated in the AI Usage Policy; and the position on fairness, human oversight and stated limitations is set out in the Responsible AI Statement. Governance that lives only in engineering habit cannot be examined; these documents exist so that it can be.</w:t>
      </w:r>
    </w:p>
    <w:p>
      <w:pPr>
        <w:pStyle w:val="Heading2"/>
        <w:spacing w:after="140" w:before="340"/>
      </w:pPr>
      <w:r>
        <w:rPr>
          <w:rFonts w:ascii="Manrope" w:cs="Manrope" w:eastAsia="Manrope" w:hAnsi="Manrope"/>
          <w:b/>
          <w:bCs/>
          <w:color w:val="2E471F"/>
          <w:sz w:val="28"/>
          <w:szCs w:val="28"/>
        </w:rPr>
        <w:t xml:space="preserve">Certification — the position stated plainly</w:t>
      </w:r>
    </w:p>
    <w:p>
      <w:pPr>
        <w:spacing w:after="160" w:line="300"/>
      </w:pPr>
      <w:r>
        <w:rPr>
          <w:rFonts w:ascii="Inter" w:cs="Inter" w:eastAsia="Inter" w:hAnsi="Inter"/>
          <w:b w:val="false"/>
          <w:bCs w:val="false"/>
          <w:color w:val="14210F"/>
          <w:sz w:val="21"/>
          <w:szCs w:val="21"/>
        </w:rPr>
        <w:t xml:space="preserve">Myntriq does not currently hold SOC 2 Type II or ISO/IEC 27001 in its own name. The cloud infrastructure beneath the platform is certified — to ISO/IEC 27001, 27017 and 27018, and to SOC 1, 2 and 3, with the managed database layer certified to SOC 2 Type II — but that is the infrastructure layer, and it is not the same claim.</w:t>
      </w:r>
    </w:p>
    <w:p>
      <w:pPr>
        <w:spacing w:after="160" w:line="300"/>
      </w:pPr>
      <w:r>
        <w:rPr>
          <w:rFonts w:ascii="Inter" w:cs="Inter" w:eastAsia="Inter" w:hAnsi="Inter"/>
          <w:b w:val="false"/>
          <w:bCs w:val="false"/>
          <w:color w:val="14210F"/>
          <w:sz w:val="21"/>
          <w:szCs w:val="21"/>
        </w:rPr>
        <w:t xml:space="preserve">An organisation in a regulated sector that requires a report before procurement should raise the requirement early rather than late, so it can be planned against rather than discovered.</w:t>
      </w:r>
    </w:p>
    <w:p>
      <w:pPr>
        <w:spacing w:after="160" w:line="300"/>
      </w:pPr>
      <w:r>
        <w:rPr>
          <w:rFonts w:ascii="Inter" w:cs="Inter" w:eastAsia="Inter" w:hAnsi="Inter"/>
          <w:b w:val="false"/>
          <w:bCs w:val="false"/>
          <w:color w:val="14210F"/>
          <w:sz w:val="21"/>
          <w:szCs w:val="21"/>
        </w:rPr>
        <w:t xml:space="preserve">A vendor that omits its certification status is not concealing something a procurement team will fail to notice — it is choosing to be asked. Stating the position turns the conversation from suspicion into planning, and it matches what the published Trust Centre already says. A whitepaper that contradicted it would cost more credibility than the certification itself would buy.</w:t>
      </w:r>
    </w:p>
    <w:p>
      <w:pPr>
        <w:pStyle w:val="Heading2"/>
        <w:spacing w:after="140" w:before="340"/>
      </w:pPr>
      <w:r>
        <w:rPr>
          <w:rFonts w:ascii="Manrope" w:cs="Manrope" w:eastAsia="Manrope" w:hAnsi="Manrope"/>
          <w:b/>
          <w:bCs/>
          <w:color w:val="2E471F"/>
          <w:sz w:val="28"/>
          <w:szCs w:val="28"/>
        </w:rPr>
        <w:t xml:space="preserve">Reporting a security concern</w:t>
      </w:r>
    </w:p>
    <w:p>
      <w:pPr>
        <w:spacing w:after="160" w:line="300"/>
      </w:pPr>
      <w:r>
        <w:rPr>
          <w:rFonts w:ascii="Inter" w:cs="Inter" w:eastAsia="Inter" w:hAnsi="Inter"/>
          <w:b w:val="false"/>
          <w:bCs w:val="false"/>
          <w:color w:val="14210F"/>
          <w:sz w:val="21"/>
          <w:szCs w:val="21"/>
        </w:rPr>
        <w:t xml:space="preserve">Suspected vulnerabilities and security concerns are reported to security-office@myntriq.io. The acknowledgement and assessment commitments that apply to a report are stated in the Security Overview in the Trust Centre.</w:t>
      </w:r>
    </w:p>
    <w:p>
      <w:pPr>
        <w:pStyle w:val="Heading1"/>
        <w:spacing w:after="200" w:before="480"/>
      </w:pPr>
      <w:r>
        <w:rPr>
          <w:rFonts w:ascii="Manrope" w:cs="Manrope" w:eastAsia="Manrope" w:hAnsi="Manrope"/>
          <w:b/>
          <w:bCs/>
          <w:color w:val="2E471F"/>
          <w:sz w:val="40"/>
          <w:szCs w:val="40"/>
        </w:rPr>
        <w:t xml:space="preserve">17. Evaluate before you commit</w:t>
      </w:r>
    </w:p>
    <w:p>
      <w:pPr>
        <w:spacing w:after="220" w:line="320"/>
      </w:pPr>
      <w:r>
        <w:rPr>
          <w:rFonts w:ascii="Inter" w:cs="Inter" w:eastAsia="Inter" w:hAnsi="Inter"/>
          <w:b w:val="false"/>
          <w:bCs w:val="false"/>
          <w:color w:val="14210F"/>
          <w:sz w:val="24"/>
          <w:szCs w:val="24"/>
        </w:rPr>
        <w:t xml:space="preserve">MyntriqOS provides a dedicated demonstration environment that runs the same platform build as production, populated exclusively with synthetic data. It carries no customer records, no staff records and nothing derived from any production system.</w:t>
      </w:r>
    </w:p>
    <w:p>
      <w:pPr>
        <w:spacing w:after="160" w:line="300"/>
      </w:pPr>
      <w:r>
        <w:rPr>
          <w:rFonts w:ascii="Inter" w:cs="Inter" w:eastAsia="Inter" w:hAnsi="Inter"/>
          <w:b w:val="false"/>
          <w:bCs w:val="false"/>
          <w:color w:val="14210F"/>
          <w:sz w:val="21"/>
          <w:szCs w:val="21"/>
        </w:rPr>
        <w:t xml:space="preserve">This matters for two reasons. An evaluating organisation can exercise agents, approvals and reporting against a realistic estate without exposing anything of its own. And Myntriq can demonstrate the product without the practice — common in enterprise software — of showing a curated environment that differs materially from what is delivered.</w:t>
      </w:r>
    </w:p>
    <w:p>
      <w:pPr>
        <w:pStyle w:val="Heading2"/>
        <w:spacing w:after="140" w:before="340"/>
      </w:pPr>
      <w:r>
        <w:rPr>
          <w:rFonts w:ascii="Manrope" w:cs="Manrope" w:eastAsia="Manrope" w:hAnsi="Manrope"/>
          <w:b/>
          <w:bCs/>
          <w:color w:val="2E471F"/>
          <w:sz w:val="28"/>
          <w:szCs w:val="28"/>
        </w:rPr>
        <w:t xml:space="preserve">Proof of value before commitment</w:t>
      </w:r>
    </w:p>
    <w:p>
      <w:pPr>
        <w:pStyle w:val="ListParagraph"/>
        <w:numPr>
          <w:ilvl w:val="0"/>
          <w:numId w:val="2"/>
        </w:numPr>
        <w:spacing w:after="120" w:line="300"/>
      </w:pPr>
      <w:r>
        <w:rPr>
          <w:rFonts w:ascii="Inter" w:cs="Inter" w:eastAsia="Inter" w:hAnsi="Inter"/>
          <w:b w:val="false"/>
          <w:bCs w:val="false"/>
          <w:color w:val="14210F"/>
          <w:sz w:val="21"/>
          <w:szCs w:val="21"/>
        </w:rPr>
        <w:t xml:space="preserve">Exercise the delegation model against the organisation's own approval thresholds</w:t>
      </w:r>
    </w:p>
    <w:p>
      <w:pPr>
        <w:pStyle w:val="ListParagraph"/>
        <w:numPr>
          <w:ilvl w:val="0"/>
          <w:numId w:val="2"/>
        </w:numPr>
        <w:spacing w:after="120" w:line="300"/>
      </w:pPr>
      <w:r>
        <w:rPr>
          <w:rFonts w:ascii="Inter" w:cs="Inter" w:eastAsia="Inter" w:hAnsi="Inter"/>
          <w:b w:val="false"/>
          <w:bCs w:val="false"/>
          <w:color w:val="14210F"/>
          <w:sz w:val="21"/>
          <w:szCs w:val="21"/>
        </w:rPr>
        <w:t xml:space="preserve">Test agent responses against representative questions before any data is migrated</w:t>
      </w:r>
    </w:p>
    <w:p>
      <w:pPr>
        <w:pStyle w:val="ListParagraph"/>
        <w:numPr>
          <w:ilvl w:val="0"/>
          <w:numId w:val="2"/>
        </w:numPr>
        <w:spacing w:after="120" w:line="300"/>
      </w:pPr>
      <w:r>
        <w:rPr>
          <w:rFonts w:ascii="Inter" w:cs="Inter" w:eastAsia="Inter" w:hAnsi="Inter"/>
          <w:b w:val="false"/>
          <w:bCs w:val="false"/>
          <w:color w:val="14210F"/>
          <w:sz w:val="21"/>
          <w:szCs w:val="21"/>
        </w:rPr>
        <w:t xml:space="preserve">Review the audit trail an auditor would actually receive</w:t>
      </w:r>
    </w:p>
    <w:p>
      <w:pPr>
        <w:pStyle w:val="ListParagraph"/>
        <w:numPr>
          <w:ilvl w:val="0"/>
          <w:numId w:val="2"/>
        </w:numPr>
        <w:spacing w:after="120" w:line="300"/>
      </w:pPr>
      <w:r>
        <w:rPr>
          <w:rFonts w:ascii="Inter" w:cs="Inter" w:eastAsia="Inter" w:hAnsi="Inter"/>
          <w:b w:val="false"/>
          <w:bCs w:val="false"/>
          <w:color w:val="14210F"/>
          <w:sz w:val="21"/>
          <w:szCs w:val="21"/>
        </w:rPr>
        <w:t xml:space="preserve">Measure model cost per workload before committing to a volume</w:t>
      </w:r>
    </w:p>
    <w:p>
      <w:pPr>
        <w:pStyle w:val="Heading1"/>
        <w:spacing w:after="200" w:before="480"/>
      </w:pPr>
      <w:r>
        <w:rPr>
          <w:rFonts w:ascii="Manrope" w:cs="Manrope" w:eastAsia="Manrope" w:hAnsi="Manrope"/>
          <w:b/>
          <w:bCs/>
          <w:color w:val="2E471F"/>
          <w:sz w:val="40"/>
          <w:szCs w:val="40"/>
        </w:rPr>
        <w:t xml:space="preserve">18. The technology stack</w:t>
      </w:r>
    </w:p>
    <w:p>
      <w:pPr>
        <w:spacing w:after="220" w:line="320"/>
      </w:pPr>
      <w:r>
        <w:rPr>
          <w:rFonts w:ascii="Inter" w:cs="Inter" w:eastAsia="Inter" w:hAnsi="Inter"/>
          <w:b w:val="false"/>
          <w:bCs w:val="false"/>
          <w:color w:val="14210F"/>
          <w:sz w:val="24"/>
          <w:szCs w:val="24"/>
        </w:rPr>
        <w:t xml:space="preserve">MyntriqOS is built on mainstream, well-supported technology. This is a deliberate choice: an enterprise platform should not require rare skills to operate, and a customer should not inherit a bespoke runtime maintained by one vendor.</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Layer</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Technology</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Rationale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Application</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 single typed, mainstream web stack across server and interface</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One codebase; a large hiring pool</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Data</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 mainstream relational database with vector capability</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Business records and AI embeddings in one transactional store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Isolation</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Row-level security policies</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Tenant boundaries enforced by the database engine</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Compute</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Managed cloud compute</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Scales to zero; no servers to operate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Model gateway</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Unified inference proxy</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One interface across frontier, open-weight and local models</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Storage</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Object storage with tenant-scoped paths</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Documents and media isolated per organisation</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Secrets</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Managed secret store, per environment</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No credential is shared across deployments</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Integration</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Myntriq Connect</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Connectors to existing ERP, CRM, HR and messaging systems</w:t>
            </w:r>
          </w:p>
        </w:tc>
      </w:tr>
    </w:tbl>
    <w:p>
      <w:pPr>
        <w:spacing w:after="200"/>
      </w:pP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tblGrid>
      <w:tr>
        <w:tc>
          <w:tcPr>
            <w:shd w:fill="F5F8F1" w:color="auto" w:val="clear"/>
            <w:tcMar>
              <w:top w:type="dxa" w:w="200"/>
              <w:left w:type="dxa" w:w="220"/>
              <w:bottom w:type="dxa" w:w="200"/>
              <w:right w:type="dxa" w:w="220"/>
            </w:tcMar>
          </w:tcPr>
          <w:p>
            <w:pPr>
              <w:spacing w:after="0" w:line="280"/>
            </w:pPr>
            <w:r>
              <w:rPr>
                <w:rFonts w:ascii="Manrope" w:cs="Manrope" w:eastAsia="Manrope" w:hAnsi="Manrope"/>
                <w:b w:val="false"/>
                <w:bCs w:val="false"/>
                <w:color w:val="2E471F"/>
                <w:sz w:val="21"/>
                <w:szCs w:val="21"/>
              </w:rPr>
              <w:t xml:space="preserve">Records and embeddings in one database Many AI platforms store business records in one system and vector embeddings in a separate specialist database. That split creates a consistency problem — the two can disagree about what exists — and a second access-control surface that must be kept aligned with the first. MyntriqOS keeps both in one transactional store, so a record and what an agent knows about it cannot diverge, and one set of isolation policies governs both.</w:t>
            </w:r>
          </w:p>
        </w:tc>
      </w:tr>
    </w:tbl>
    <w:p>
      <w:pPr>
        <w:spacing w:after="200"/>
      </w:pPr>
    </w:p>
    <w:p>
      <w:pPr>
        <w:pStyle w:val="Heading1"/>
        <w:spacing w:after="200" w:before="480"/>
      </w:pPr>
      <w:r>
        <w:rPr>
          <w:rFonts w:ascii="Manrope" w:cs="Manrope" w:eastAsia="Manrope" w:hAnsi="Manrope"/>
          <w:b/>
          <w:bCs/>
          <w:color w:val="2E471F"/>
          <w:sz w:val="40"/>
          <w:szCs w:val="40"/>
        </w:rPr>
        <w:t xml:space="preserve">19. Deployment, integration and exit</w:t>
      </w:r>
    </w:p>
    <w:p>
      <w:pPr>
        <w:pStyle w:val="Heading2"/>
        <w:spacing w:after="140" w:before="340"/>
      </w:pPr>
      <w:r>
        <w:rPr>
          <w:rFonts w:ascii="Manrope" w:cs="Manrope" w:eastAsia="Manrope" w:hAnsi="Manrope"/>
          <w:b/>
          <w:bCs/>
          <w:color w:val="2E471F"/>
          <w:sz w:val="28"/>
          <w:szCs w:val="28"/>
        </w:rPr>
        <w:t xml:space="preserve">Your existing systems stay</w:t>
      </w:r>
    </w:p>
    <w:p>
      <w:pPr>
        <w:spacing w:after="160" w:line="300"/>
      </w:pPr>
      <w:r>
        <w:rPr>
          <w:rFonts w:ascii="Inter" w:cs="Inter" w:eastAsia="Inter" w:hAnsi="Inter"/>
          <w:b w:val="false"/>
          <w:bCs w:val="false"/>
          <w:color w:val="14210F"/>
          <w:sz w:val="21"/>
          <w:szCs w:val="21"/>
        </w:rPr>
        <w:t xml:space="preserve">MyntriqOS is not a replacement for the systems of record an organisation has already paid for. It connects to them. ERP, accounting, human resources and messaging platforms remain where they are; MyntriqOS operates across them through the Connect layer, which holds per-connection credentials scoped to a single tenant.</w:t>
      </w:r>
    </w:p>
    <w:p>
      <w:pPr>
        <w:spacing w:after="160" w:line="300"/>
      </w:pPr>
      <w:r>
        <w:rPr>
          <w:rFonts w:ascii="Inter" w:cs="Inter" w:eastAsia="Inter" w:hAnsi="Inter"/>
          <w:b w:val="false"/>
          <w:bCs w:val="false"/>
          <w:color w:val="14210F"/>
          <w:sz w:val="21"/>
          <w:szCs w:val="21"/>
        </w:rPr>
        <w:t xml:space="preserve">The Connect layer is deliberately split in two, and the split is a control rather than a product boundary:</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Tier</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Scope</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Rule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Connect — Systems of Record</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CRM, human resources, finance, ERP and other systems of record</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The sole write path. Every write is authority-gated and audited</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Connect — Messaging</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WhatsApp, Teams, Telegram, SMS, voice and email delivery</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Carries messages only. Never a system-of-record write path</w:t>
            </w:r>
          </w:p>
        </w:tc>
      </w:tr>
    </w:tbl>
    <w:p>
      <w:pPr>
        <w:spacing w:after="200"/>
      </w:pPr>
    </w:p>
    <w:p>
      <w:pPr>
        <w:spacing w:after="160" w:line="300"/>
      </w:pPr>
      <w:r>
        <w:rPr>
          <w:rFonts w:ascii="Inter" w:cs="Inter" w:eastAsia="Inter" w:hAnsi="Inter"/>
          <w:b w:val="false"/>
          <w:bCs w:val="false"/>
          <w:color w:val="14210F"/>
          <w:sz w:val="21"/>
          <w:szCs w:val="21"/>
        </w:rPr>
        <w:t xml:space="preserve">Because every write to a system of record passes through one path, there is a single place where authority is checked and a single place that produces the audit record. A messaging channel cannot become an unaudited route into a business system, which is the usual way integration sprawl defeats a governance model.</w:t>
      </w:r>
    </w:p>
    <w:p>
      <w:pPr>
        <w:pStyle w:val="Heading2"/>
        <w:spacing w:after="140" w:before="340"/>
      </w:pPr>
      <w:r>
        <w:rPr>
          <w:rFonts w:ascii="Manrope" w:cs="Manrope" w:eastAsia="Manrope" w:hAnsi="Manrope"/>
          <w:b/>
          <w:bCs/>
          <w:color w:val="2E471F"/>
          <w:sz w:val="28"/>
          <w:szCs w:val="28"/>
        </w:rPr>
        <w:t xml:space="preserve">Deployment sequence</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Stage</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What happens</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Typical duration</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Evaluation</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Exercise agents and governance in the synthetic environment</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Days</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Provisioning</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Dedicated distribution created with its own data store and credentials</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Days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Connection</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Integrations established to existing systems of record</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One to three weeks</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Supervised operation</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Agents run with every consequential action requiring approval</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Two to four weeks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Graduated autonomy</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Authority widened per agent and per workflow on evidence</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Ongoing</w:t>
            </w:r>
          </w:p>
        </w:tc>
      </w:tr>
    </w:tbl>
    <w:p>
      <w:pPr>
        <w:spacing w:after="200"/>
      </w:pPr>
    </w:p>
    <w:p>
      <w:pPr>
        <w:spacing w:after="160" w:line="300"/>
      </w:pPr>
      <w:r>
        <w:rPr>
          <w:rFonts w:ascii="Inter" w:cs="Inter" w:eastAsia="Inter" w:hAnsi="Inter"/>
          <w:b w:val="false"/>
          <w:bCs w:val="false"/>
          <w:color w:val="14210F"/>
          <w:sz w:val="21"/>
          <w:szCs w:val="21"/>
        </w:rPr>
        <w:t xml:space="preserve">The supervised stage is not a formality. It is where an organisation accumulates the evidence on which it later grants autonomy — and where an agent that behaves unexpectedly is caught before it can act unsupervised.</w:t>
      </w:r>
    </w:p>
    <w:p>
      <w:pPr>
        <w:pStyle w:val="Heading2"/>
        <w:spacing w:after="140" w:before="340"/>
      </w:pPr>
      <w:r>
        <w:rPr>
          <w:rFonts w:ascii="Manrope" w:cs="Manrope" w:eastAsia="Manrope" w:hAnsi="Manrope"/>
          <w:b/>
          <w:bCs/>
          <w:color w:val="2E471F"/>
          <w:sz w:val="28"/>
          <w:szCs w:val="28"/>
        </w:rPr>
        <w:t xml:space="preserve">Exit</w:t>
      </w:r>
    </w:p>
    <w:p>
      <w:pPr>
        <w:spacing w:after="160" w:line="300"/>
      </w:pPr>
      <w:r>
        <w:rPr>
          <w:rFonts w:ascii="Inter" w:cs="Inter" w:eastAsia="Inter" w:hAnsi="Inter"/>
          <w:b w:val="false"/>
          <w:bCs w:val="false"/>
          <w:color w:val="14210F"/>
          <w:sz w:val="21"/>
          <w:szCs w:val="21"/>
        </w:rPr>
        <w:t xml:space="preserve">At any point, the organisation can export the complete audit history. Its business records, knowledge documents and process definitions are held in a standard relational schema it can be granted direct access to, and first-class export for those three is planned rather than shipped — said plainly here, because a vendor that overstates its exit is telling you something about the rest of its claims. Nothing about the architecture makes departure expensive, which is the only credible form of vendor commitment.</w:t>
      </w:r>
    </w:p>
    <w:p>
      <w:pPr>
        <w:pStyle w:val="Heading1"/>
        <w:spacing w:after="200" w:before="480"/>
      </w:pPr>
      <w:r>
        <w:rPr>
          <w:rFonts w:ascii="Manrope" w:cs="Manrope" w:eastAsia="Manrope" w:hAnsi="Manrope"/>
          <w:b/>
          <w:bCs/>
          <w:color w:val="2E471F"/>
          <w:sz w:val="40"/>
          <w:szCs w:val="40"/>
        </w:rPr>
        <w:t xml:space="preserve">20. The commercial case</w:t>
      </w:r>
    </w:p>
    <w:p>
      <w:pPr>
        <w:spacing w:after="220" w:line="320"/>
      </w:pPr>
      <w:r>
        <w:rPr>
          <w:rFonts w:ascii="Inter" w:cs="Inter" w:eastAsia="Inter" w:hAnsi="Inter"/>
          <w:b w:val="false"/>
          <w:bCs w:val="false"/>
          <w:color w:val="14210F"/>
          <w:sz w:val="24"/>
          <w:szCs w:val="24"/>
        </w:rPr>
        <w:t xml:space="preserve">The decision to deploy MyntriqOS is not primarily a technology decision. It is a decision about operating leverage — whether a business function grows in cost linearly with volume, or whether it does not.</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Where value appears</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Mechanism</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Response latency</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Inbound contact is handled on arrival rather than in the next working period</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Coverage</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Functions operate outside working hours without shift cost</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Exception detection</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Financial and operational exceptions surface when they occur, not at period close</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Reporting effort</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Cross-functional reporting is assembled rather than compiled by hand</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Stack consolidation</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Fewer overlapping tools, each with its own licence, integration and administration</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Institutional memory</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Process and knowledge are versioned assets rather than individual expertise</w:t>
            </w:r>
          </w:p>
        </w:tc>
      </w:tr>
    </w:tbl>
    <w:p>
      <w:pPr>
        <w:spacing w:after="200"/>
      </w:pPr>
    </w:p>
    <w:p>
      <w:pPr>
        <w:pStyle w:val="Heading2"/>
        <w:spacing w:after="140" w:before="340"/>
      </w:pPr>
      <w:r>
        <w:rPr>
          <w:rFonts w:ascii="Manrope" w:cs="Manrope" w:eastAsia="Manrope" w:hAnsi="Manrope"/>
          <w:b/>
          <w:bCs/>
          <w:color w:val="2E471F"/>
          <w:sz w:val="28"/>
          <w:szCs w:val="28"/>
        </w:rPr>
        <w:t xml:space="preserve">What to ask any competing vendor</w:t>
      </w:r>
    </w:p>
    <w:p>
      <w:pPr>
        <w:pStyle w:val="ListParagraph"/>
        <w:numPr>
          <w:ilvl w:val="0"/>
          <w:numId w:val="2"/>
        </w:numPr>
        <w:spacing w:after="120" w:line="300"/>
      </w:pPr>
      <w:r>
        <w:rPr>
          <w:rFonts w:ascii="Inter" w:cs="Inter" w:eastAsia="Inter" w:hAnsi="Inter"/>
          <w:b w:val="false"/>
          <w:bCs w:val="false"/>
          <w:color w:val="14210F"/>
          <w:sz w:val="21"/>
          <w:szCs w:val="21"/>
        </w:rPr>
        <w:t xml:space="preserve">If your application code omitted the tenant filter, would one customer see another's data?</w:t>
      </w:r>
    </w:p>
    <w:p>
      <w:pPr>
        <w:pStyle w:val="ListParagraph"/>
        <w:numPr>
          <w:ilvl w:val="0"/>
          <w:numId w:val="2"/>
        </w:numPr>
        <w:spacing w:after="120" w:line="300"/>
      </w:pPr>
      <w:r>
        <w:rPr>
          <w:rFonts w:ascii="Inter" w:cs="Inter" w:eastAsia="Inter" w:hAnsi="Inter"/>
          <w:b w:val="false"/>
          <w:bCs w:val="false"/>
          <w:color w:val="14210F"/>
          <w:sz w:val="21"/>
          <w:szCs w:val="21"/>
        </w:rPr>
        <w:t xml:space="preserve">Can autonomy be granted per agent and per workflow, or only for the whole platform?</w:t>
      </w:r>
    </w:p>
    <w:p>
      <w:pPr>
        <w:pStyle w:val="ListParagraph"/>
        <w:numPr>
          <w:ilvl w:val="0"/>
          <w:numId w:val="2"/>
        </w:numPr>
        <w:spacing w:after="120" w:line="300"/>
      </w:pPr>
      <w:r>
        <w:rPr>
          <w:rFonts w:ascii="Inter" w:cs="Inter" w:eastAsia="Inter" w:hAnsi="Inter"/>
          <w:b w:val="false"/>
          <w:bCs w:val="false"/>
          <w:color w:val="14210F"/>
          <w:sz w:val="21"/>
          <w:szCs w:val="21"/>
        </w:rPr>
        <w:t xml:space="preserve">Does your audit trail record the agent's reasoning, or only the outcome?</w:t>
      </w:r>
    </w:p>
    <w:p>
      <w:pPr>
        <w:pStyle w:val="ListParagraph"/>
        <w:numPr>
          <w:ilvl w:val="0"/>
          <w:numId w:val="2"/>
        </w:numPr>
        <w:spacing w:after="120" w:line="300"/>
      </w:pPr>
      <w:r>
        <w:rPr>
          <w:rFonts w:ascii="Inter" w:cs="Inter" w:eastAsia="Inter" w:hAnsi="Inter"/>
          <w:b w:val="false"/>
          <w:bCs w:val="false"/>
          <w:color w:val="14210F"/>
          <w:sz w:val="21"/>
          <w:szCs w:val="21"/>
        </w:rPr>
        <w:t xml:space="preserve">Can an agent retrieve from knowledge it was not explicitly bound to?</w:t>
      </w:r>
    </w:p>
    <w:p>
      <w:pPr>
        <w:pStyle w:val="ListParagraph"/>
        <w:numPr>
          <w:ilvl w:val="0"/>
          <w:numId w:val="2"/>
        </w:numPr>
        <w:spacing w:after="120" w:line="300"/>
      </w:pPr>
      <w:r>
        <w:rPr>
          <w:rFonts w:ascii="Inter" w:cs="Inter" w:eastAsia="Inter" w:hAnsi="Inter"/>
          <w:b w:val="false"/>
          <w:bCs w:val="false"/>
          <w:color w:val="14210F"/>
          <w:sz w:val="21"/>
          <w:szCs w:val="21"/>
        </w:rPr>
        <w:t xml:space="preserve">Can we replace your model provider without re-implementing our agents?</w:t>
      </w:r>
    </w:p>
    <w:p>
      <w:pPr>
        <w:pStyle w:val="ListParagraph"/>
        <w:numPr>
          <w:ilvl w:val="0"/>
          <w:numId w:val="2"/>
        </w:numPr>
        <w:spacing w:after="120" w:line="300"/>
      </w:pPr>
      <w:r>
        <w:rPr>
          <w:rFonts w:ascii="Inter" w:cs="Inter" w:eastAsia="Inter" w:hAnsi="Inter"/>
          <w:b w:val="false"/>
          <w:bCs w:val="false"/>
          <w:color w:val="14210F"/>
          <w:sz w:val="21"/>
          <w:szCs w:val="21"/>
        </w:rPr>
        <w:t xml:space="preserve">What exactly do we take with us if we leave, and in what format?</w:t>
      </w:r>
    </w:p>
    <w:p>
      <w:pPr>
        <w:spacing w:after="160" w:line="300"/>
      </w:pPr>
      <w:r>
        <w:rPr>
          <w:rFonts w:ascii="Inter" w:cs="Inter" w:eastAsia="Inter" w:hAnsi="Inter"/>
          <w:b w:val="false"/>
          <w:bCs w:val="false"/>
          <w:color w:val="14210F"/>
          <w:sz w:val="21"/>
          <w:szCs w:val="21"/>
        </w:rPr>
        <w:t xml:space="preserve">These questions are not rhetorical. Each corresponds to an architectural decision that is expensive to retrofit and cheap to make correctly at the outset. They are the questions MyntriqOS was designed to answer.</w:t>
      </w:r>
    </w:p>
    <w:p>
      <w:pPr>
        <w:pStyle w:val="Heading1"/>
        <w:spacing w:after="200" w:before="480"/>
      </w:pPr>
      <w:r>
        <w:rPr>
          <w:rFonts w:ascii="Manrope" w:cs="Manrope" w:eastAsia="Manrope" w:hAnsi="Manrope"/>
          <w:b/>
          <w:bCs/>
          <w:color w:val="2E471F"/>
          <w:sz w:val="40"/>
          <w:szCs w:val="40"/>
        </w:rPr>
        <w:t xml:space="preserve">21. Why not build this yourself</w:t>
      </w:r>
    </w:p>
    <w:p>
      <w:pPr>
        <w:spacing w:after="220" w:line="320"/>
      </w:pPr>
      <w:r>
        <w:rPr>
          <w:rFonts w:ascii="Inter" w:cs="Inter" w:eastAsia="Inter" w:hAnsi="Inter"/>
          <w:b w:val="false"/>
          <w:bCs w:val="false"/>
          <w:color w:val="14210F"/>
          <w:sz w:val="24"/>
          <w:szCs w:val="24"/>
        </w:rPr>
        <w:t xml:space="preserve">Any competent engineering team can build an agent. Frameworks make the reasoning loop a short piece of work, and a convincing internal demonstration usually arrives within weeks. That is the part everyone estimates correctly.</w:t>
      </w:r>
    </w:p>
    <w:p>
      <w:pPr>
        <w:spacing w:after="160" w:line="300"/>
      </w:pPr>
      <w:r>
        <w:rPr>
          <w:rFonts w:ascii="Inter" w:cs="Inter" w:eastAsia="Inter" w:hAnsi="Inter"/>
          <w:b w:val="false"/>
          <w:bCs w:val="false"/>
          <w:color w:val="14210F"/>
          <w:sz w:val="21"/>
          <w:szCs w:val="21"/>
        </w:rPr>
        <w:t xml:space="preserve">The estimate that fails is what comes after. Making that agent safe to run against real customer data, under real delegated authority, with an audit record a regulator would accept, is the larger part of the work by a wide margin — and none of it is visible in the demonstration that justified the project. It is discovered afterwards, usually during a security review, and it is discovered again for every subsequent agent.</w:t>
      </w:r>
    </w:p>
    <w:p>
      <w:pPr>
        <w:spacing w:after="160" w:line="300"/>
      </w:pPr>
      <w:r>
        <w:rPr>
          <w:rFonts w:ascii="Inter" w:cs="Inter" w:eastAsia="Inter" w:hAnsi="Inter"/>
          <w:b w:val="false"/>
          <w:bCs w:val="false"/>
          <w:color w:val="14210F"/>
          <w:sz w:val="21"/>
          <w:szCs w:val="21"/>
        </w:rPr>
        <w:t xml:space="preserve">The comparison below is not a claim that building is unwise. It is a statement of what has to be built, so that the choice is made with the whole cost visible.</w:t>
      </w:r>
    </w:p>
    <w:p>
      <w:pPr>
        <w:pStyle w:val="Heading2"/>
        <w:spacing w:after="140" w:before="340"/>
      </w:pPr>
      <w:r>
        <w:rPr>
          <w:rFonts w:ascii="Manrope" w:cs="Manrope" w:eastAsia="Manrope" w:hAnsi="Manrope"/>
          <w:b/>
          <w:bCs/>
          <w:color w:val="2E471F"/>
          <w:sz w:val="28"/>
          <w:szCs w:val="28"/>
        </w:rPr>
        <w:t xml:space="preserve">Where the work actually goes</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Dimension</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Building it yourself</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Building on MyntriqOS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Tenant isolation</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Enforced in application code — every query must carry the tenant filter. One omission, or one injection flaw, crosses the boundary</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Enforced inside the database by row-level security: 258 policies across 88 tables. Application code cannot reach past it, because the database refuses the row</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Delegated authority</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Approval loops, thresholds, role checks and fallbacks written per endpoint, and re-reviewed each time an endpoint is added</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61 governed business intents with three modes — ask, act and notify, act autonomously. Ordered chains of named approvers are shipped; k-of-n quorum is in development</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Audit record</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Application logs record that a function ran. That is rarely what an auditor is asking for</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Actor, timestamp, reasoning, outcome and the authority relied upon, written on the same path as the action itself</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Cross-functional context</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Each agent knows its own domain. Giving human resources sight of finance means another integration, and another authorisation model</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Agents share one governed data layer, so context crosses functions without a new pipeline — and without widening who may see what</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Knowledge retrieval</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Vector search over document chunks. A superseded document answers as readily as a current one</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Retrieval is bound to named collections and filtered by eligibility and lifecycle state, so a draft or withdrawn document is not reachable</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Model dependence</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Provider SDKs called from agent code. Changing provider means touching every agent and prompt</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One gateway in front of frontier, open-weight and self-hosted models. Substitution is configuration</w:t>
            </w:r>
          </w:p>
        </w:tc>
      </w:tr>
    </w:tbl>
    <w:p>
      <w:pPr>
        <w:spacing w:after="200"/>
      </w:pPr>
    </w:p>
    <w:p>
      <w:pPr>
        <w:pStyle w:val="Heading2"/>
        <w:spacing w:after="140" w:before="340"/>
      </w:pPr>
      <w:r>
        <w:rPr>
          <w:rFonts w:ascii="Manrope" w:cs="Manrope" w:eastAsia="Manrope" w:hAnsi="Manrope"/>
          <w:b/>
          <w:bCs/>
          <w:color w:val="2E471F"/>
          <w:sz w:val="28"/>
          <w:szCs w:val="28"/>
        </w:rPr>
        <w:t xml:space="preserve">What that buys, stated plainly</w:t>
      </w:r>
    </w:p>
    <w:p>
      <w:pPr>
        <w:spacing w:after="160" w:line="300"/>
      </w:pPr>
      <w:r>
        <w:rPr>
          <w:rFonts w:ascii="Inter" w:cs="Inter" w:eastAsia="Inter" w:hAnsi="Inter"/>
          <w:b/>
          <w:bCs/>
          <w:color w:val="14210F"/>
          <w:sz w:val="21"/>
          <w:szCs w:val="21"/>
        </w:rPr>
        <w:t xml:space="preserve">Infrastructure you do not maintain. </w:t>
      </w:r>
      <w:r>
        <w:rPr>
          <w:rFonts w:ascii="Inter" w:cs="Inter" w:eastAsia="Inter" w:hAnsi="Inter"/>
          <w:b w:val="false"/>
          <w:bCs w:val="false"/>
          <w:color w:val="14210F"/>
          <w:sz w:val="21"/>
          <w:szCs w:val="21"/>
        </w:rPr>
        <w:t xml:space="preserve">Connectors, credential storage, retrieval pipelines, session state and the message paths to Teams, WhatsApp and email are platform properties. Every agent inherits them on the day it is created, and they are patched once rather than per agent.</w:t>
      </w:r>
    </w:p>
    <w:p>
      <w:pPr>
        <w:spacing w:after="160" w:line="300"/>
      </w:pPr>
      <w:r>
        <w:rPr>
          <w:rFonts w:ascii="Inter" w:cs="Inter" w:eastAsia="Inter" w:hAnsi="Inter"/>
          <w:b/>
          <w:bCs/>
          <w:color w:val="14210F"/>
          <w:sz w:val="21"/>
          <w:szCs w:val="21"/>
        </w:rPr>
        <w:t xml:space="preserve">A security review that argues from architecture. </w:t>
      </w:r>
      <w:r>
        <w:rPr>
          <w:rFonts w:ascii="Inter" w:cs="Inter" w:eastAsia="Inter" w:hAnsi="Inter"/>
          <w:b w:val="false"/>
          <w:bCs w:val="false"/>
          <w:color w:val="14210F"/>
          <w:sz w:val="21"/>
          <w:szCs w:val="21"/>
        </w:rPr>
        <w:t xml:space="preserve">A reviewer asking "what happens if the application forgets the tenant filter?" can be answered with a demonstrable database boundary rather than an assurance about code quality. That is a stronger position to review from; it is not a promise about how quickly any particular review concludes, which depends on the reviewer, not on us.</w:t>
      </w:r>
    </w:p>
    <w:p>
      <w:pPr>
        <w:spacing w:after="160" w:line="300"/>
      </w:pPr>
      <w:r>
        <w:rPr>
          <w:rFonts w:ascii="Inter" w:cs="Inter" w:eastAsia="Inter" w:hAnsi="Inter"/>
          <w:b/>
          <w:bCs/>
          <w:color w:val="14210F"/>
          <w:sz w:val="21"/>
          <w:szCs w:val="21"/>
        </w:rPr>
        <w:t xml:space="preserve">Capability that compounds. </w:t>
      </w:r>
      <w:r>
        <w:rPr>
          <w:rFonts w:ascii="Inter" w:cs="Inter" w:eastAsia="Inter" w:hAnsi="Inter"/>
          <w:b w:val="false"/>
          <w:bCs w:val="false"/>
          <w:color w:val="14210F"/>
          <w:sz w:val="21"/>
          <w:szCs w:val="21"/>
        </w:rPr>
        <w:t xml:space="preserve">Skills are versioned and composable, and they operate on shared business objects. A skill built for onboarding is available to every later process without being rebuilt — which is why the second and third use cases cost a fraction of the first, and why that is not true of a set of separately built agents.</w:t>
      </w:r>
    </w:p>
    <w:p>
      <w:pPr>
        <w:spacing w:after="160" w:line="300"/>
      </w:pPr>
      <w:r>
        <w:rPr>
          <w:rFonts w:ascii="Inter" w:cs="Inter" w:eastAsia="Inter" w:hAnsi="Inter"/>
          <w:b/>
          <w:bCs/>
          <w:color w:val="14210F"/>
          <w:sz w:val="21"/>
          <w:szCs w:val="21"/>
        </w:rPr>
        <w:t xml:space="preserve">An exit you can evidence. </w:t>
      </w:r>
      <w:r>
        <w:rPr>
          <w:rFonts w:ascii="Inter" w:cs="Inter" w:eastAsia="Inter" w:hAnsi="Inter"/>
          <w:b w:val="false"/>
          <w:bCs w:val="false"/>
          <w:color w:val="14210F"/>
          <w:sz w:val="21"/>
          <w:szCs w:val="21"/>
        </w:rPr>
        <w:t xml:space="preserve">The complete audit history is exportable today. Business records, knowledge documents and process definitions are held in a standard relational schema you can be given direct access to, and first-class export for them is planned rather than shipped — stated here because §20 invites you to ask every vendor exactly this question, and the answer we give about ourselves should be the one we would accept.</w:t>
      </w:r>
    </w:p>
    <w:p>
      <w:pPr>
        <w:pStyle w:val="Heading1"/>
        <w:spacing w:after="200" w:before="480"/>
      </w:pPr>
      <w:r>
        <w:rPr>
          <w:rFonts w:ascii="Manrope" w:cs="Manrope" w:eastAsia="Manrope" w:hAnsi="Manrope"/>
          <w:b/>
          <w:bCs/>
          <w:color w:val="2E471F"/>
          <w:sz w:val="40"/>
          <w:szCs w:val="40"/>
        </w:rPr>
        <w:t xml:space="preserve">22. A three-year cost model</w:t>
      </w:r>
    </w:p>
    <w:p>
      <w:pPr>
        <w:spacing w:after="220" w:line="320"/>
      </w:pPr>
      <w:r>
        <w:rPr>
          <w:rFonts w:ascii="Inter" w:cs="Inter" w:eastAsia="Inter" w:hAnsi="Inter"/>
          <w:b w:val="false"/>
          <w:bCs w:val="false"/>
          <w:color w:val="14210F"/>
          <w:sz w:val="24"/>
          <w:szCs w:val="24"/>
        </w:rPr>
        <w:t xml:space="preserve">The figures below are a model, not a measurement. They are built from the engineering work each approach requires, priced at a blended senior engineering cost of roughly US$140,000–180,000 per person-year, and they exclude model token consumption on both sides, since that is driven by usage rather than by architecture. They are offered so the shape of the difference can be argued with — substitute your own rates and the ratio, which is the point, holds.</w:t>
      </w:r>
    </w:p>
    <w:p>
      <w:pPr>
        <w:spacing w:after="160" w:line="300"/>
      </w:pPr>
      <w:r>
        <w:rPr>
          <w:rFonts w:ascii="Inter" w:cs="Inter" w:eastAsia="Inter" w:hAnsi="Inter"/>
          <w:b w:val="false"/>
          <w:bCs w:val="false"/>
          <w:color w:val="14210F"/>
          <w:sz w:val="21"/>
          <w:szCs w:val="21"/>
        </w:rPr>
        <w:t xml:space="preserve">What the model does not do is compare a platform licence against zero. A build has no licence and a large engineering bill; a deployment has a licence and a small one. The licence is excluded from the tables and named separately, because pretending it away would make the comparison useless to the person who has to sign for it.</w:t>
      </w:r>
    </w:p>
    <w:p>
      <w:pPr>
        <w:pStyle w:val="Heading2"/>
        <w:spacing w:after="140" w:before="340"/>
      </w:pPr>
      <w:r>
        <w:rPr>
          <w:rFonts w:ascii="Manrope" w:cs="Manrope" w:eastAsia="Manrope" w:hAnsi="Manrope"/>
          <w:b/>
          <w:bCs/>
          <w:color w:val="2E471F"/>
          <w:sz w:val="28"/>
          <w:szCs w:val="28"/>
        </w:rPr>
        <w:t xml:space="preserve">Year one — building and deploying</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Where the money goes</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Building it yourself</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Building on MyntriqOS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Core platform engineering</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US$180k–280k — gateway, retrieval pipeline, conversational interface, session state, and the messaging connectors</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US$20k–40k — configuration and integration against connectors that already exist</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Security, governance and audit</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US$120k–180k — access control per endpoint, immutable logging, multi-party approval, and the tests that show each one holds</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Included — the isolation, the intent catalogue and the audit path are platform properties, already tested</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Security review and remediation</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US$40k–80k — repeated review cycles, because isolation asserted in application code has to be re-argued for every code path</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US$10k–20k — reviewed against a database boundary and exercised in a synthetic environment</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Year one total</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US$340k–540k</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US$30k–60k, plus licence</w:t>
            </w:r>
          </w:p>
        </w:tc>
      </w:tr>
    </w:tbl>
    <w:p>
      <w:pPr>
        <w:spacing w:after="200"/>
      </w:pPr>
    </w:p>
    <w:p>
      <w:pPr>
        <w:pStyle w:val="Heading2"/>
        <w:spacing w:after="140" w:before="340"/>
      </w:pPr>
      <w:r>
        <w:rPr>
          <w:rFonts w:ascii="Manrope" w:cs="Manrope" w:eastAsia="Manrope" w:hAnsi="Manrope"/>
          <w:b/>
          <w:bCs/>
          <w:color w:val="2E471F"/>
          <w:sz w:val="28"/>
          <w:szCs w:val="28"/>
        </w:rPr>
        <w:t xml:space="preserve">Years two and three — running and extending</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Where the money goes</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Building it yourself</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Building on MyntriqOS</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Maintenance</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US$80k–120k a year — provider SDKs, retrieval synchronisation, interface drift and security dependencies, needing roughly one to one and a half engineers</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US$15k–30k a year — one codebase and one data engine, patched by the platform</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Five further agents</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US$150k–250k — each agent re-poses the data access, permission and workflow questions, so the sixth costs close to the first</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US$15k–30k — new capability is composed from existing skills and inherits the isolation and approval model unchanged</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Infrastructure</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US$25k–50k a year — a separate vector store alongside the transactional database</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US$10k–20k a year — one database engine holding business data and vectors, on compute that scales to zero when idle</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Model spend control</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Fragmented — each agent calls its provider directly, so consumption is visible only after the invoice</w:t>
            </w:r>
          </w:p>
        </w:tc>
        <w:tc>
          <w:tcPr>
            <w:tcW w:type="pct" w:w="41%"/>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Metered per agent and per organisation, with rate ceilings on automated approval. Metering and ceilings are shipped; a hard spend cap is not</w:t>
            </w:r>
          </w:p>
        </w:tc>
      </w:tr>
    </w:tbl>
    <w:p>
      <w:pPr>
        <w:spacing w:after="200"/>
      </w:pPr>
    </w:p>
    <w:p>
      <w:pPr>
        <w:pStyle w:val="Heading2"/>
        <w:spacing w:after="140" w:before="340"/>
      </w:pPr>
      <w:r>
        <w:rPr>
          <w:rFonts w:ascii="Manrope" w:cs="Manrope" w:eastAsia="Manrope" w:hAnsi="Manrope"/>
          <w:b/>
          <w:bCs/>
          <w:color w:val="2E471F"/>
          <w:sz w:val="28"/>
          <w:szCs w:val="28"/>
        </w:rPr>
        <w:t xml:space="preserve">Three years, taken together</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Approach</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Three-year engineering and infrastructure cost</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Building it yourself</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US$750k–1,150k</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Building on MyntriqOS</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US$120k–220k, plus licence</w:t>
            </w:r>
          </w:p>
        </w:tc>
      </w:tr>
    </w:tbl>
    <w:p>
      <w:pPr>
        <w:spacing w:after="200"/>
      </w:pPr>
    </w:p>
    <w:p>
      <w:pPr>
        <w:spacing w:after="160" w:line="300"/>
      </w:pPr>
      <w:r>
        <w:rPr>
          <w:rFonts w:ascii="Inter" w:cs="Inter" w:eastAsia="Inter" w:hAnsi="Inter"/>
          <w:b w:val="false"/>
          <w:bCs w:val="false"/>
          <w:color w:val="14210F"/>
          <w:sz w:val="21"/>
          <w:szCs w:val="21"/>
        </w:rPr>
        <w:t xml:space="preserve">Excludes model token consumption on both sides.</w:t>
      </w:r>
    </w:p>
    <w:p>
      <w:pPr>
        <w:pStyle w:val="Heading2"/>
        <w:spacing w:after="140" w:before="340"/>
      </w:pPr>
      <w:r>
        <w:rPr>
          <w:rFonts w:ascii="Manrope" w:cs="Manrope" w:eastAsia="Manrope" w:hAnsi="Manrope"/>
          <w:b/>
          <w:bCs/>
          <w:color w:val="2E471F"/>
          <w:sz w:val="28"/>
          <w:szCs w:val="28"/>
        </w:rPr>
        <w:t xml:space="preserve">What the numbers are actually saying</w:t>
      </w:r>
    </w:p>
    <w:p>
      <w:pPr>
        <w:pStyle w:val="ListParagraph"/>
        <w:numPr>
          <w:ilvl w:val="0"/>
          <w:numId w:val="2"/>
        </w:numPr>
        <w:spacing w:after="120" w:line="300"/>
      </w:pPr>
      <w:r>
        <w:rPr>
          <w:rFonts w:ascii="Inter" w:cs="Inter" w:eastAsia="Inter" w:hAnsi="Inter"/>
          <w:b/>
          <w:bCs/>
          <w:color w:val="14210F"/>
          <w:sz w:val="21"/>
          <w:szCs w:val="21"/>
        </w:rPr>
        <w:t xml:space="preserve">The spend is not on the thing that differentiates you. </w:t>
      </w:r>
      <w:r>
        <w:rPr>
          <w:rFonts w:ascii="Inter" w:cs="Inter" w:eastAsia="Inter" w:hAnsi="Inter"/>
          <w:b w:val="false"/>
          <w:bCs w:val="false"/>
          <w:color w:val="14210F"/>
          <w:sz w:val="21"/>
          <w:szCs w:val="21"/>
        </w:rPr>
        <w:t xml:space="preserve">Tenant isolation, approval routing and audit logging are identical in every company that builds them, and no customer has ever chosen a supplier because of them. They are simply the price of being allowed to deploy.</w:t>
      </w:r>
    </w:p>
    <w:p>
      <w:pPr>
        <w:pStyle w:val="ListParagraph"/>
        <w:numPr>
          <w:ilvl w:val="0"/>
          <w:numId w:val="2"/>
        </w:numPr>
        <w:spacing w:after="120" w:line="300"/>
      </w:pPr>
      <w:r>
        <w:rPr>
          <w:rFonts w:ascii="Inter" w:cs="Inter" w:eastAsia="Inter" w:hAnsi="Inter"/>
          <w:b/>
          <w:bCs/>
          <w:color w:val="14210F"/>
          <w:sz w:val="21"/>
          <w:szCs w:val="21"/>
        </w:rPr>
        <w:t xml:space="preserve">The second agent is where the models diverge. </w:t>
      </w:r>
      <w:r>
        <w:rPr>
          <w:rFonts w:ascii="Inter" w:cs="Inter" w:eastAsia="Inter" w:hAnsi="Inter"/>
          <w:b w:val="false"/>
          <w:bCs w:val="false"/>
          <w:color w:val="14210F"/>
          <w:sz w:val="21"/>
          <w:szCs w:val="21"/>
        </w:rPr>
        <w:t xml:space="preserve">A build re-poses every governance question per agent, so cost stays roughly linear. A platform answers them once, so cost per added use case falls. If you expect exactly one agent, the case is much weaker — and you should say so rather than let the model flatter the decision.</w:t>
      </w:r>
    </w:p>
    <w:p>
      <w:pPr>
        <w:pStyle w:val="ListParagraph"/>
        <w:numPr>
          <w:ilvl w:val="0"/>
          <w:numId w:val="2"/>
        </w:numPr>
        <w:spacing w:after="120" w:line="300"/>
      </w:pPr>
      <w:r>
        <w:rPr>
          <w:rFonts w:ascii="Inter" w:cs="Inter" w:eastAsia="Inter" w:hAnsi="Inter"/>
          <w:b/>
          <w:bCs/>
          <w:color w:val="14210F"/>
          <w:sz w:val="21"/>
          <w:szCs w:val="21"/>
        </w:rPr>
        <w:t xml:space="preserve">Concentration risk moves rather than disappearing. </w:t>
      </w:r>
      <w:r>
        <w:rPr>
          <w:rFonts w:ascii="Inter" w:cs="Inter" w:eastAsia="Inter" w:hAnsi="Inter"/>
          <w:b w:val="false"/>
          <w:bCs w:val="false"/>
          <w:color w:val="14210F"/>
          <w:sz w:val="21"/>
          <w:szCs w:val="21"/>
        </w:rPr>
        <w:t xml:space="preserve">A build concentrates it in the engineers who understand the governance code; a deployment concentrates it in a supplier. The mitigations are different in kind: a standard relational database, exportable audit history and substitutable model providers, against documentation and retention.</w:t>
      </w:r>
    </w:p>
    <w:p>
      <w:pPr>
        <w:pStyle w:val="Heading1"/>
        <w:spacing w:after="200" w:before="480"/>
      </w:pPr>
      <w:r>
        <w:rPr>
          <w:rFonts w:ascii="Manrope" w:cs="Manrope" w:eastAsia="Manrope" w:hAnsi="Manrope"/>
          <w:b/>
          <w:bCs/>
          <w:color w:val="2E471F"/>
          <w:sz w:val="40"/>
          <w:szCs w:val="40"/>
        </w:rPr>
        <w:t xml:space="preserve">Appendix A. Control summary for security review</w:t>
      </w:r>
    </w:p>
    <w:p>
      <w:pPr>
        <w:spacing w:after="220" w:line="320"/>
      </w:pPr>
      <w:r>
        <w:rPr>
          <w:rFonts w:ascii="Inter" w:cs="Inter" w:eastAsia="Inter" w:hAnsi="Inter"/>
          <w:b w:val="false"/>
          <w:bCs w:val="false"/>
          <w:color w:val="14210F"/>
          <w:sz w:val="24"/>
          <w:szCs w:val="24"/>
        </w:rPr>
        <w:t xml:space="preserve">A condensed reference for information security and data-protection assessors.</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Domain</w:t>
            </w:r>
          </w:p>
        </w:tc>
        <w:tc>
          <w:tcPr>
            <w:tcW w:type="pct" w:w="82%"/>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Control position</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Data residency</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Managed cloud; storage and processing jurisdictions disclosed per provider in the Myntriq Trust Centre</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Encryption</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AES-256 at rest; TLS 1.2 or above in transit</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Tenant isolation</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Enforced by database row-level policy, not application code</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Database connection model</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No connection pool in the application tier; tenant identity travels in the per-request signed token and is set with transaction scope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Elevated-credential paths</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 small enumerable set of machine endpoints, each verifying its own credential before the client is constructed</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Customer memory</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Readable by members serving that customer; written only by the system</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Agent session memory</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Readable only by the person it belongs to</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Executive memory</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Owner-only on read, write, amend and delete; defaults to the most restrictive classification</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Memory mutability</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Append-and-supersede — a changed fact never overwrites its predecessor</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Attachment handling</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Conversation attachments are not added to the shared retrieval index</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Analytical query composition</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The model never composes a query — it selects from a whitelist of modelled views and supplies bounded parameters</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Analytical query scope</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Fixed server-side from the caller's identity; a model-supplied organisation, user or customer identifier has no effect</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Reporting definitions</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Held as versioned, reviewable assets in the platform and compiled into the reporting engine, never authored inside it</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Measure arithmetic</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Additivity is declared per measure; an undeclared measure is treated as non-additive rather than summed</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Infrastructure separation</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Dedicated data store, credentials and storage per distribution</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Authentication</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Federated single sign-on with mandatory multi-factor authentication</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Authorisation</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Role-based, evaluated in the data layer and the application layer</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Agent authority</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Named gated intents with per-agent, per-workflow delegation</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Separation of duties</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Proposer and approver must differ, enforced inside the database; exemptions are explicit and recorded</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Agent authority ceiling</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An agent holds a credential-less identity fixed at the lowest level; it may propose but never decide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Non-automatable actions</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Payments, invoices, discount approval, administrator changes, organisation deletion and audit disablement never execute autonomously</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Process automation</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Requires an administrator and a manager acting together; no individual can enable it alone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Knowledge scoping</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Agents bound to specific collections; retrieval cannot cross the binding</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Content eligibility</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Approved and AI-eligible material only is retrievable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Prompt-injection defence</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Retrieved and inbound content wrapped as untrusted context</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Model access</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Central gateway; no provider credential is held by an agent</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Audit</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Immutable, searchable and exportable record of actor, reasoning, outcome and authority</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Retention</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Retention dates recorded against documents and executive memory</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Content inspection</w:t>
            </w:r>
          </w:p>
        </w:tc>
        <w:tc>
          <w:tcPr>
            <w:tcW w:type="pct" w:w="82%"/>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Not performed — no scanning, redaction or automated personal-data detection</w:t>
            </w:r>
          </w:p>
        </w:tc>
      </w:tr>
      <w:tr>
        <w:tc>
          <w:tcPr>
            <w:tcW w:type="pct" w:w="18%"/>
            <w:shd w:fill="F5F8F1"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Data portability</w:t>
            </w:r>
          </w:p>
        </w:tc>
        <w:tc>
          <w:tcPr>
            <w:tcW w:type="pct" w:w="82%"/>
            <w:shd w:fill="F5F8F1"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Full export of records, knowledge, processes and audit history</w:t>
            </w:r>
          </w:p>
        </w:tc>
      </w:tr>
    </w:tbl>
    <w:p>
      <w:pPr>
        <w:spacing w:after="200"/>
      </w:pPr>
    </w:p>
    <w:p>
      <w:pPr>
        <w:spacing w:after="160" w:line="300"/>
      </w:pPr>
      <w:r>
        <w:rPr>
          <w:rFonts w:ascii="Inter" w:cs="Inter" w:eastAsia="Inter" w:hAnsi="Inter"/>
          <w:b w:val="false"/>
          <w:bCs w:val="false"/>
          <w:color w:val="14210F"/>
          <w:sz w:val="21"/>
          <w:szCs w:val="21"/>
        </w:rPr>
        <w:t xml:space="preserve">MyntriqOS is a product of Myntriq. This document describes platform architecture and is provided to support evaluation. Specific deployment configurations, commercial terms and service levels are agreed per engagement.</w:t>
      </w:r>
    </w:p>
    <w:p>
      <w:pPr>
        <w:pStyle w:val="Heading1"/>
        <w:spacing w:after="200" w:before="480"/>
      </w:pPr>
      <w:r>
        <w:rPr>
          <w:rFonts w:ascii="Manrope" w:cs="Manrope" w:eastAsia="Manrope" w:hAnsi="Manrope"/>
          <w:b/>
          <w:bCs/>
          <w:color w:val="2E471F"/>
          <w:sz w:val="40"/>
          <w:szCs w:val="40"/>
        </w:rPr>
        <w:t xml:space="preserve">Document history</w:t>
      </w:r>
    </w:p>
    <w:tbl>
      <w:tblPr>
        <w:tblW w:type="pct" w:w="100%"/>
        <w:tblBorders>
          <w:top w:val="single" w:color="E0E7D8" w:sz="2"/>
          <w:left w:val="none" w:color="auto" w:sz="0"/>
          <w:bottom w:val="single" w:color="E0E7D8" w:sz="2"/>
          <w:right w:val="none" w:color="auto" w:sz="0"/>
          <w:insideH w:val="single" w:color="E0E7D8" w:sz="1"/>
          <w:insideV w:val="none" w:color="auto" w:sz="0"/>
        </w:tblBorders>
      </w:tblPr>
      <w:tblGrid>
        <w:gridCol w:w="100"/>
        <w:gridCol w:w="100"/>
        <w:gridCol w:w="100"/>
      </w:tblGrid>
      <w:tr>
        <w:trPr>
          <w:tblHeader/>
        </w:trPr>
        <w:tc>
          <w:tcPr>
            <w:tcW w:type="pct" w:w="18%"/>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Version</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Date</w:t>
            </w:r>
          </w:p>
        </w:tc>
        <w:tc>
          <w:tcPr>
            <w:tcW w:type="pct" w:w="41%"/>
            <w:shd w:fill="0C4128" w:color="auto" w:val="clear"/>
            <w:tcMar>
              <w:top w:type="dxa" w:w="200"/>
              <w:left w:type="dxa" w:w="240"/>
              <w:bottom w:type="dxa" w:w="200"/>
              <w:right w:type="dxa" w:w="240"/>
            </w:tcMar>
          </w:tcPr>
          <w:p>
            <w:pPr>
              <w:spacing w:after="0" w:line="260"/>
            </w:pPr>
            <w:r>
              <w:rPr>
                <w:rFonts w:ascii="Inter" w:cs="Inter" w:eastAsia="Inter" w:hAnsi="Inter"/>
                <w:b/>
                <w:bCs/>
                <w:color w:val="FFFFFF"/>
                <w:sz w:val="18"/>
                <w:szCs w:val="18"/>
              </w:rPr>
              <w:t xml:space="preserve">Change</w:t>
            </w:r>
          </w:p>
        </w:tc>
      </w:tr>
      <w:tr>
        <w:tc>
          <w:tcPr>
            <w:tcW w:type="pct" w:w="18%"/>
            <w:shd w:fill="FFFFFF" w:color="auto" w:val="clear"/>
            <w:tcMar>
              <w:top w:type="dxa" w:w="200"/>
              <w:left w:type="dxa" w:w="240"/>
              <w:bottom w:type="dxa" w:w="200"/>
              <w:right w:type="dxa" w:w="240"/>
            </w:tcMar>
          </w:tcPr>
          <w:p>
            <w:pPr>
              <w:spacing w:after="0" w:line="260"/>
            </w:pPr>
            <w:r>
              <w:rPr>
                <w:rFonts w:ascii="Inter" w:cs="Inter" w:eastAsia="Inter" w:hAnsi="Inter"/>
                <w:b/>
                <w:bCs/>
                <w:color w:val="14210F"/>
                <w:sz w:val="19"/>
                <w:szCs w:val="19"/>
              </w:rPr>
              <w:t xml:space="preserve">V3</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2026-09-28</w:t>
            </w:r>
          </w:p>
        </w:tc>
        <w:tc>
          <w:tcPr>
            <w:tcW w:type="pct" w:w="41%"/>
            <w:shd w:fill="FFFFFF" w:color="auto" w:val="clear"/>
            <w:tcMar>
              <w:top w:type="dxa" w:w="200"/>
              <w:left w:type="dxa" w:w="240"/>
              <w:bottom w:type="dxa" w:w="200"/>
              <w:right w:type="dxa" w:w="240"/>
            </w:tcMar>
          </w:tcPr>
          <w:p>
            <w:pPr>
              <w:spacing w:after="0" w:line="260"/>
            </w:pPr>
            <w:r>
              <w:rPr>
                <w:rFonts w:ascii="Inter" w:cs="Inter" w:eastAsia="Inter" w:hAnsi="Inter"/>
                <w:b w:val="false"/>
                <w:bCs w:val="false"/>
                <w:color w:val="14210F"/>
                <w:sz w:val="19"/>
                <w:szCs w:val="19"/>
              </w:rPr>
              <w:t xml:space="preserve">Security, privacy and governance rewritten as a narrative of the trust programme: policy content removed and referenced by name in the Myntriq Trust Centre, infrastructure described as cloud with certifications named and providers unnamed, and the security-reporting contact set to security-office@myntriq.io</w:t>
            </w:r>
          </w:p>
        </w:tc>
      </w:tr>
    </w:tbl>
    <w:p>
      <w:pPr>
        <w:spacing w:after="200"/>
      </w:pPr>
    </w:p>
    <w:sectPr>
      <w:footerReference w:type="default" r:id="rId7"/>
      <w:pgSz w:w="11908" w:h="16833"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nter" w:cs="Inter" w:eastAsia="Inter" w:hAnsi="Inter"/>
        <w:color w:val="5F6D63"/>
        <w:sz w:val="16"/>
        <w:szCs w:val="16"/>
      </w:rPr>
      <w:t xml:space="preserve">MyntriqOS  ·  Technical Whitepaper · V3  ·  </w:t>
    </w:r>
    <w:r>
      <w:rPr>
        <w:rFonts w:ascii="Inter" w:cs="Inter" w:eastAsia="Inter" w:hAnsi="Inter"/>
        <w:color w:val="5F6D6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rPr>
        <w:rFonts w:ascii="Inter" w:cs="Inter" w:eastAsia="Inter" w:hAnsi="Inter"/>
        <w:color w:val="3E6B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MyntriqOS</dc:title>
  <dc:creator>Myntriq</dc:creator>
  <dc:description>The AI Agentic Operating System</dc:description>
  <cp:lastModifiedBy>Un-named</cp:lastModifiedBy>
  <cp:revision>1</cp:revision>
  <dcterms:created xsi:type="dcterms:W3CDTF">2026-09-27T22:44:36.201Z</dcterms:created>
  <dcterms:modified xsi:type="dcterms:W3CDTF">2026-09-27T22:44:36.201Z</dcterms:modified>
</cp:coreProperties>
</file>

<file path=docProps/custom.xml><?xml version="1.0" encoding="utf-8"?>
<Properties xmlns="http://schemas.openxmlformats.org/officeDocument/2006/custom-properties" xmlns:vt="http://schemas.openxmlformats.org/officeDocument/2006/docPropsVTypes"/>
</file>